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83966" w14:textId="6EEF1B32" w:rsidR="00135593" w:rsidRPr="00135593" w:rsidRDefault="00135593" w:rsidP="004A444F">
      <w:pPr>
        <w:jc w:val="center"/>
        <w:rPr>
          <w:rFonts w:ascii="Times New Roman" w:hAnsi="Times New Roman" w:cs="Times New Roman"/>
          <w:b/>
          <w:bCs/>
          <w:i/>
          <w:iCs/>
        </w:rPr>
      </w:pPr>
      <w:bookmarkStart w:id="0" w:name="_Hlk160620761"/>
      <w:r w:rsidRPr="00135593">
        <w:rPr>
          <w:rFonts w:ascii="Times New Roman" w:hAnsi="Times New Roman" w:cs="Times New Roman"/>
          <w:b/>
          <w:bCs/>
          <w:lang w:val="sr-Cyrl-RS"/>
        </w:rPr>
        <w:t>Утицај берзанских индекса и цена сировина на кретање приноса хартија од вредности компаније</w:t>
      </w:r>
      <w:r w:rsidRPr="00135593">
        <w:rPr>
          <w:rFonts w:ascii="Times New Roman" w:hAnsi="Times New Roman" w:cs="Times New Roman"/>
          <w:b/>
          <w:bCs/>
          <w:i/>
          <w:iCs/>
          <w:lang w:val="sr-Cyrl-RS"/>
        </w:rPr>
        <w:t xml:space="preserve"> </w:t>
      </w:r>
      <w:r w:rsidRPr="00135593">
        <w:rPr>
          <w:rFonts w:ascii="Times New Roman" w:hAnsi="Times New Roman" w:cs="Times New Roman"/>
          <w:b/>
          <w:bCs/>
          <w:i/>
          <w:iCs/>
        </w:rPr>
        <w:t>Caterpillar</w:t>
      </w:r>
    </w:p>
    <w:p w14:paraId="5D9EAB55" w14:textId="041F3A45" w:rsidR="006A56FB" w:rsidRDefault="006A56FB" w:rsidP="00DD6A27">
      <w:pPr>
        <w:rPr>
          <w:rFonts w:ascii="Times New Roman" w:hAnsi="Times New Roman" w:cs="Times New Roman"/>
          <w:b/>
          <w:bCs/>
        </w:rPr>
      </w:pPr>
    </w:p>
    <w:p w14:paraId="3D0B1054" w14:textId="77777777" w:rsidR="006A56FB" w:rsidRPr="00627E54" w:rsidRDefault="006A56FB" w:rsidP="00DD6A27">
      <w:pPr>
        <w:rPr>
          <w:rFonts w:ascii="Times New Roman" w:hAnsi="Times New Roman" w:cs="Times New Roman"/>
          <w:b/>
          <w:bCs/>
        </w:rPr>
      </w:pPr>
    </w:p>
    <w:bookmarkEnd w:id="0"/>
    <w:p w14:paraId="3A09ADC7" w14:textId="77777777" w:rsidR="00DE2AC5" w:rsidRPr="00FA731A" w:rsidRDefault="00DE2AC5" w:rsidP="00D842FD">
      <w:pPr>
        <w:jc w:val="both"/>
        <w:rPr>
          <w:rFonts w:ascii="Times New Roman" w:hAnsi="Times New Roman" w:cs="Times New Roman"/>
          <w:b/>
          <w:bCs/>
        </w:rPr>
      </w:pPr>
      <w:r w:rsidRPr="00FA731A">
        <w:rPr>
          <w:rFonts w:ascii="Times New Roman" w:hAnsi="Times New Roman" w:cs="Times New Roman"/>
          <w:b/>
          <w:bCs/>
        </w:rPr>
        <w:t>Апстракт</w:t>
      </w:r>
    </w:p>
    <w:p w14:paraId="4E2FB892" w14:textId="17C88EE9" w:rsidR="006A56FB" w:rsidRPr="00F13487" w:rsidRDefault="00F27A31" w:rsidP="00D842FD">
      <w:pPr>
        <w:jc w:val="both"/>
        <w:rPr>
          <w:rFonts w:ascii="Times New Roman" w:hAnsi="Times New Roman" w:cs="Times New Roman"/>
        </w:rPr>
      </w:pPr>
      <w:r w:rsidRPr="00FA731A">
        <w:rPr>
          <w:rFonts w:ascii="Times New Roman" w:hAnsi="Times New Roman" w:cs="Times New Roman"/>
        </w:rPr>
        <w:t xml:space="preserve">Циљ овог рада је да испита ефекат </w:t>
      </w:r>
      <w:r w:rsidR="00773AD2">
        <w:rPr>
          <w:rFonts w:ascii="Times New Roman" w:hAnsi="Times New Roman" w:cs="Times New Roman"/>
        </w:rPr>
        <w:t>изабраних берзанских индекса и берзанских цена изабраних сировина</w:t>
      </w:r>
      <w:r w:rsidRPr="00FA731A">
        <w:rPr>
          <w:rFonts w:ascii="Times New Roman" w:hAnsi="Times New Roman" w:cs="Times New Roman"/>
        </w:rPr>
        <w:t xml:space="preserve"> </w:t>
      </w:r>
      <w:r w:rsidR="006347BA">
        <w:rPr>
          <w:rFonts w:ascii="Times New Roman" w:hAnsi="Times New Roman" w:cs="Times New Roman"/>
        </w:rPr>
        <w:t>н</w:t>
      </w:r>
      <w:r w:rsidR="00B91447">
        <w:rPr>
          <w:rFonts w:ascii="Times New Roman" w:hAnsi="Times New Roman" w:cs="Times New Roman"/>
        </w:rPr>
        <w:t>a</w:t>
      </w:r>
      <w:r w:rsidR="00B91447" w:rsidRPr="00FA731A">
        <w:rPr>
          <w:rFonts w:ascii="Times New Roman" w:hAnsi="Times New Roman" w:cs="Times New Roman"/>
        </w:rPr>
        <w:t xml:space="preserve"> кретањ</w:t>
      </w:r>
      <w:r w:rsidR="00B91447">
        <w:rPr>
          <w:rFonts w:ascii="Times New Roman" w:hAnsi="Times New Roman" w:cs="Times New Roman"/>
        </w:rPr>
        <w:t>e</w:t>
      </w:r>
      <w:r w:rsidR="00B91447" w:rsidRPr="00FA731A">
        <w:rPr>
          <w:rFonts w:ascii="Times New Roman" w:hAnsi="Times New Roman" w:cs="Times New Roman"/>
        </w:rPr>
        <w:t xml:space="preserve"> </w:t>
      </w:r>
      <w:r w:rsidRPr="00FA731A">
        <w:rPr>
          <w:rFonts w:ascii="Times New Roman" w:hAnsi="Times New Roman" w:cs="Times New Roman"/>
        </w:rPr>
        <w:t xml:space="preserve">будућих </w:t>
      </w:r>
      <w:r w:rsidR="008778B9">
        <w:rPr>
          <w:rFonts w:ascii="Times New Roman" w:hAnsi="Times New Roman" w:cs="Times New Roman"/>
        </w:rPr>
        <w:t xml:space="preserve">дневних </w:t>
      </w:r>
      <w:r w:rsidRPr="00FA731A">
        <w:rPr>
          <w:rFonts w:ascii="Times New Roman" w:hAnsi="Times New Roman" w:cs="Times New Roman"/>
        </w:rPr>
        <w:t xml:space="preserve">приноса акција </w:t>
      </w:r>
      <w:r w:rsidR="0000546C">
        <w:rPr>
          <w:rFonts w:ascii="Times New Roman" w:hAnsi="Times New Roman" w:cs="Times New Roman"/>
        </w:rPr>
        <w:t xml:space="preserve">компаније </w:t>
      </w:r>
      <w:r w:rsidR="00627E54" w:rsidRPr="00627E54">
        <w:rPr>
          <w:rFonts w:ascii="Times New Roman" w:hAnsi="Times New Roman" w:cs="Times New Roman"/>
          <w:i/>
          <w:iCs/>
        </w:rPr>
        <w:t>Caterpillar</w:t>
      </w:r>
      <w:r w:rsidRPr="00627E54">
        <w:rPr>
          <w:rFonts w:ascii="Times New Roman" w:hAnsi="Times New Roman" w:cs="Times New Roman"/>
          <w:i/>
          <w:iCs/>
        </w:rPr>
        <w:t>-a.</w:t>
      </w:r>
      <w:r w:rsidR="001A4CF5">
        <w:rPr>
          <w:rFonts w:ascii="Times New Roman" w:hAnsi="Times New Roman" w:cs="Times New Roman"/>
        </w:rPr>
        <w:t xml:space="preserve"> </w:t>
      </w:r>
      <w:r w:rsidR="00C44372" w:rsidRPr="00FA731A">
        <w:rPr>
          <w:rFonts w:ascii="Times New Roman" w:hAnsi="Times New Roman" w:cs="Times New Roman"/>
        </w:rPr>
        <w:t>Историјски подаци о приносима акција и другим релевантним факторима се могу користити за изградњу статистичких модела за пре</w:t>
      </w:r>
      <w:r w:rsidR="006011E6">
        <w:rPr>
          <w:rFonts w:ascii="Times New Roman" w:hAnsi="Times New Roman" w:cs="Times New Roman"/>
        </w:rPr>
        <w:t>д</w:t>
      </w:r>
      <w:r w:rsidR="00C44372" w:rsidRPr="00FA731A">
        <w:rPr>
          <w:rFonts w:ascii="Times New Roman" w:hAnsi="Times New Roman" w:cs="Times New Roman"/>
        </w:rPr>
        <w:t>виђањ</w:t>
      </w:r>
      <w:r w:rsidR="00D11294">
        <w:rPr>
          <w:rFonts w:ascii="Times New Roman" w:hAnsi="Times New Roman" w:cs="Times New Roman"/>
        </w:rPr>
        <w:t>е будућих кретања на тржишту</w:t>
      </w:r>
      <w:r w:rsidR="00C44372" w:rsidRPr="00FA731A">
        <w:rPr>
          <w:rFonts w:ascii="Times New Roman" w:hAnsi="Times New Roman" w:cs="Times New Roman"/>
        </w:rPr>
        <w:t xml:space="preserve">. </w:t>
      </w:r>
      <w:r w:rsidRPr="00FA731A">
        <w:rPr>
          <w:rFonts w:ascii="Times New Roman" w:hAnsi="Times New Roman" w:cs="Times New Roman"/>
        </w:rPr>
        <w:t>Подаци о дневним временским серијама прикупљени су са сајта Yahoo Finance за петогодишњи период</w:t>
      </w:r>
      <w:r w:rsidR="00A12523" w:rsidRPr="00FA731A">
        <w:rPr>
          <w:rFonts w:ascii="Times New Roman" w:hAnsi="Times New Roman" w:cs="Times New Roman"/>
        </w:rPr>
        <w:t>.</w:t>
      </w:r>
      <w:r w:rsidR="00674195" w:rsidRPr="00FA731A">
        <w:rPr>
          <w:rFonts w:ascii="Times New Roman" w:hAnsi="Times New Roman" w:cs="Times New Roman"/>
        </w:rPr>
        <w:t xml:space="preserve"> </w:t>
      </w:r>
      <w:r w:rsidR="00DB28A3">
        <w:rPr>
          <w:rFonts w:ascii="Times New Roman" w:hAnsi="Times New Roman" w:cs="Times New Roman"/>
        </w:rPr>
        <w:t>У</w:t>
      </w:r>
      <w:r w:rsidR="00674195" w:rsidRPr="00FA731A">
        <w:rPr>
          <w:rFonts w:ascii="Times New Roman" w:hAnsi="Times New Roman" w:cs="Times New Roman"/>
        </w:rPr>
        <w:t xml:space="preserve"> овом раду </w:t>
      </w:r>
      <w:r w:rsidR="008778B9">
        <w:rPr>
          <w:rFonts w:ascii="Times New Roman" w:hAnsi="Times New Roman" w:cs="Times New Roman"/>
        </w:rPr>
        <w:t>користимо</w:t>
      </w:r>
      <w:r w:rsidR="00674195" w:rsidRPr="00FA731A">
        <w:rPr>
          <w:rFonts w:ascii="Times New Roman" w:hAnsi="Times New Roman" w:cs="Times New Roman"/>
        </w:rPr>
        <w:t xml:space="preserve"> </w:t>
      </w:r>
      <w:r w:rsidR="008778B9">
        <w:rPr>
          <w:rFonts w:ascii="Times New Roman" w:hAnsi="Times New Roman" w:cs="Times New Roman"/>
        </w:rPr>
        <w:t>ви</w:t>
      </w:r>
      <w:r w:rsidR="00674195" w:rsidRPr="00FA731A">
        <w:rPr>
          <w:rFonts w:ascii="Times New Roman" w:hAnsi="Times New Roman" w:cs="Times New Roman"/>
        </w:rPr>
        <w:t>шеструк</w:t>
      </w:r>
      <w:r w:rsidR="002622B2">
        <w:rPr>
          <w:rFonts w:ascii="Times New Roman" w:hAnsi="Times New Roman" w:cs="Times New Roman"/>
        </w:rPr>
        <w:t>у</w:t>
      </w:r>
      <w:r w:rsidR="00674195" w:rsidRPr="00FA731A">
        <w:rPr>
          <w:rFonts w:ascii="Times New Roman" w:hAnsi="Times New Roman" w:cs="Times New Roman"/>
        </w:rPr>
        <w:t xml:space="preserve"> линеарн</w:t>
      </w:r>
      <w:r w:rsidR="002622B2">
        <w:rPr>
          <w:rFonts w:ascii="Times New Roman" w:hAnsi="Times New Roman" w:cs="Times New Roman"/>
        </w:rPr>
        <w:t>у</w:t>
      </w:r>
      <w:r w:rsidR="00674195" w:rsidRPr="00FA731A">
        <w:rPr>
          <w:rFonts w:ascii="Times New Roman" w:hAnsi="Times New Roman" w:cs="Times New Roman"/>
        </w:rPr>
        <w:t xml:space="preserve"> регресиј</w:t>
      </w:r>
      <w:r w:rsidR="002622B2">
        <w:rPr>
          <w:rFonts w:ascii="Times New Roman" w:hAnsi="Times New Roman" w:cs="Times New Roman"/>
        </w:rPr>
        <w:t>у</w:t>
      </w:r>
      <w:r w:rsidR="00674195" w:rsidRPr="00FA731A">
        <w:rPr>
          <w:rFonts w:ascii="Times New Roman" w:hAnsi="Times New Roman" w:cs="Times New Roman"/>
        </w:rPr>
        <w:t xml:space="preserve"> за пред</w:t>
      </w:r>
      <w:r w:rsidR="004C46B0">
        <w:rPr>
          <w:rFonts w:ascii="Times New Roman" w:hAnsi="Times New Roman" w:cs="Times New Roman"/>
        </w:rPr>
        <w:t>в</w:t>
      </w:r>
      <w:r w:rsidR="00674195" w:rsidRPr="00FA731A">
        <w:rPr>
          <w:rFonts w:ascii="Times New Roman" w:hAnsi="Times New Roman" w:cs="Times New Roman"/>
        </w:rPr>
        <w:t xml:space="preserve">иђање приноса </w:t>
      </w:r>
      <w:r w:rsidR="002622B2">
        <w:rPr>
          <w:rFonts w:ascii="Times New Roman" w:hAnsi="Times New Roman" w:cs="Times New Roman"/>
        </w:rPr>
        <w:t xml:space="preserve">CAT </w:t>
      </w:r>
      <w:r w:rsidR="00674195" w:rsidRPr="00FA731A">
        <w:rPr>
          <w:rFonts w:ascii="Times New Roman" w:hAnsi="Times New Roman" w:cs="Times New Roman"/>
        </w:rPr>
        <w:t>акциј</w:t>
      </w:r>
      <w:r w:rsidR="002622B2">
        <w:rPr>
          <w:rFonts w:ascii="Times New Roman" w:hAnsi="Times New Roman" w:cs="Times New Roman"/>
        </w:rPr>
        <w:t>a</w:t>
      </w:r>
      <w:r w:rsidR="00674195" w:rsidRPr="00FA731A">
        <w:rPr>
          <w:rFonts w:ascii="Times New Roman" w:hAnsi="Times New Roman" w:cs="Times New Roman"/>
        </w:rPr>
        <w:t xml:space="preserve">. </w:t>
      </w:r>
      <w:r w:rsidR="00DB28A3">
        <w:rPr>
          <w:rFonts w:ascii="Times New Roman" w:hAnsi="Times New Roman" w:cs="Times New Roman"/>
        </w:rPr>
        <w:t>Резултати модела</w:t>
      </w:r>
      <w:r w:rsidR="009501DA">
        <w:rPr>
          <w:rFonts w:ascii="Times New Roman" w:hAnsi="Times New Roman" w:cs="Times New Roman"/>
        </w:rPr>
        <w:t xml:space="preserve"> се могу анализирати како би се идентификовали обрасци, трендови и узорци који могу бити корисни за предвиђање. </w:t>
      </w:r>
      <w:r w:rsidR="004C27D4">
        <w:rPr>
          <w:rFonts w:ascii="Times New Roman" w:hAnsi="Times New Roman" w:cs="Times New Roman"/>
        </w:rPr>
        <w:t>Резултати показују да је тачност предвиђања предложеног</w:t>
      </w:r>
      <w:r w:rsidR="006347BA">
        <w:rPr>
          <w:rFonts w:ascii="Times New Roman" w:hAnsi="Times New Roman" w:cs="Times New Roman"/>
        </w:rPr>
        <w:t xml:space="preserve"> </w:t>
      </w:r>
      <w:r w:rsidR="004C27D4">
        <w:rPr>
          <w:rFonts w:ascii="Times New Roman" w:hAnsi="Times New Roman" w:cs="Times New Roman"/>
        </w:rPr>
        <w:t>модела са додатна 4 предиктора за 13,3% већа од бенчмарк модела</w:t>
      </w:r>
      <w:r w:rsidR="006347BA">
        <w:rPr>
          <w:rFonts w:ascii="Times New Roman" w:hAnsi="Times New Roman" w:cs="Times New Roman"/>
        </w:rPr>
        <w:t xml:space="preserve">, </w:t>
      </w:r>
      <w:bookmarkStart w:id="1" w:name="_Hlk162983217"/>
      <w:r w:rsidR="006347BA">
        <w:rPr>
          <w:rFonts w:ascii="Times New Roman" w:hAnsi="Times New Roman" w:cs="Times New Roman"/>
        </w:rPr>
        <w:t xml:space="preserve">где је коришћен само тржишни индекс SPY </w:t>
      </w:r>
      <w:r w:rsidR="006347BA" w:rsidRPr="006347BA">
        <w:rPr>
          <w:rFonts w:ascii="Times New Roman" w:hAnsi="Times New Roman" w:cs="Times New Roman"/>
        </w:rPr>
        <w:t>(фонд SPDR S&amp;P 500 ETF)</w:t>
      </w:r>
      <w:r w:rsidR="006347BA">
        <w:rPr>
          <w:rFonts w:ascii="Times New Roman" w:hAnsi="Times New Roman" w:cs="Times New Roman"/>
        </w:rPr>
        <w:t xml:space="preserve"> за објашњавање варијабилности приноса CAT акција</w:t>
      </w:r>
      <w:bookmarkEnd w:id="1"/>
      <w:r w:rsidR="004C27D4">
        <w:rPr>
          <w:rFonts w:ascii="Times New Roman" w:hAnsi="Times New Roman" w:cs="Times New Roman"/>
        </w:rPr>
        <w:t xml:space="preserve">. </w:t>
      </w:r>
      <w:r w:rsidR="001A4CF5">
        <w:rPr>
          <w:rFonts w:ascii="Times New Roman" w:hAnsi="Times New Roman" w:cs="Times New Roman"/>
        </w:rPr>
        <w:t>Истраживањем је потврђено да, поред SPY тржишног индекса, кретање приноса PKB (</w:t>
      </w:r>
      <w:r w:rsidR="001A4CF5" w:rsidRPr="001A4CF5">
        <w:rPr>
          <w:rFonts w:ascii="Times New Roman" w:hAnsi="Times New Roman" w:cs="Times New Roman"/>
        </w:rPr>
        <w:t>Invesco Dynamic Building and Construction ET</w:t>
      </w:r>
      <w:r w:rsidR="001A4CF5">
        <w:rPr>
          <w:rFonts w:ascii="Times New Roman" w:hAnsi="Times New Roman" w:cs="Times New Roman"/>
        </w:rPr>
        <w:t>F)</w:t>
      </w:r>
      <w:r w:rsidR="001A4CF5" w:rsidRPr="001A4CF5">
        <w:rPr>
          <w:rFonts w:ascii="Times New Roman" w:hAnsi="Times New Roman" w:cs="Times New Roman"/>
        </w:rPr>
        <w:t xml:space="preserve"> </w:t>
      </w:r>
      <w:r w:rsidR="001A4CF5">
        <w:rPr>
          <w:rFonts w:ascii="Times New Roman" w:hAnsi="Times New Roman" w:cs="Times New Roman"/>
        </w:rPr>
        <w:t xml:space="preserve">инвестиционог фонда, </w:t>
      </w:r>
      <w:r w:rsidR="00DB28A3">
        <w:rPr>
          <w:rFonts w:ascii="Times New Roman" w:hAnsi="Times New Roman" w:cs="Times New Roman"/>
        </w:rPr>
        <w:t>цене б</w:t>
      </w:r>
      <w:r w:rsidR="001A4CF5">
        <w:rPr>
          <w:rFonts w:ascii="Times New Roman" w:hAnsi="Times New Roman" w:cs="Times New Roman"/>
        </w:rPr>
        <w:t>акра</w:t>
      </w:r>
      <w:r w:rsidR="00B91447">
        <w:rPr>
          <w:rFonts w:ascii="Times New Roman" w:hAnsi="Times New Roman" w:cs="Times New Roman"/>
        </w:rPr>
        <w:t>,</w:t>
      </w:r>
      <w:r w:rsidR="001A4CF5">
        <w:rPr>
          <w:rFonts w:ascii="Times New Roman" w:hAnsi="Times New Roman" w:cs="Times New Roman"/>
        </w:rPr>
        <w:t xml:space="preserve"> челика и алуминијума имају статистички значајан утицај на кретање приноса CAT акција. </w:t>
      </w:r>
      <w:r w:rsidR="00135593">
        <w:rPr>
          <w:rFonts w:ascii="Times New Roman" w:hAnsi="Times New Roman" w:cs="Times New Roman"/>
          <w:lang w:val="sr-Cyrl-RS"/>
        </w:rPr>
        <w:t xml:space="preserve">Практична </w:t>
      </w:r>
      <w:r w:rsidR="00556E74">
        <w:rPr>
          <w:rFonts w:ascii="Times New Roman" w:hAnsi="Times New Roman" w:cs="Times New Roman"/>
        </w:rPr>
        <w:t xml:space="preserve">импликација рада је да инвеститори приликом одлучивања да ли да улажу у CAT акције, осим </w:t>
      </w:r>
      <w:r w:rsidR="00556E74" w:rsidRPr="00F13487">
        <w:rPr>
          <w:rFonts w:ascii="Times New Roman" w:hAnsi="Times New Roman" w:cs="Times New Roman"/>
        </w:rPr>
        <w:t>системских фактора, морају узети у обзир и перформансе акција у њего</w:t>
      </w:r>
      <w:r w:rsidR="00556E74" w:rsidRPr="007B66E9">
        <w:rPr>
          <w:rFonts w:ascii="Times New Roman" w:hAnsi="Times New Roman" w:cs="Times New Roman"/>
        </w:rPr>
        <w:t>вом ланцу снабдевања.</w:t>
      </w:r>
      <w:r w:rsidR="00F13487" w:rsidRPr="00F13487">
        <w:rPr>
          <w:rFonts w:ascii="Times New Roman" w:hAnsi="Times New Roman" w:cs="Times New Roman"/>
        </w:rPr>
        <w:t xml:space="preserve"> Ова импликација указује на важност анализе целокупног пословног система компаније Caterpillar приликом донош</w:t>
      </w:r>
      <w:r w:rsidR="007B66E9">
        <w:rPr>
          <w:rFonts w:ascii="Times New Roman" w:hAnsi="Times New Roman" w:cs="Times New Roman"/>
        </w:rPr>
        <w:t>ењ</w:t>
      </w:r>
      <w:r w:rsidR="00F13487" w:rsidRPr="00F13487">
        <w:rPr>
          <w:rFonts w:ascii="Times New Roman" w:hAnsi="Times New Roman" w:cs="Times New Roman"/>
        </w:rPr>
        <w:t>а инвестиционих одлука.</w:t>
      </w:r>
      <w:r w:rsidR="00F13487">
        <w:t xml:space="preserve"> </w:t>
      </w:r>
      <w:r w:rsidR="007B66E9" w:rsidRPr="00DF14A7">
        <w:rPr>
          <w:rFonts w:ascii="Times New Roman" w:hAnsi="Times New Roman" w:cs="Times New Roman"/>
        </w:rPr>
        <w:t>Оваква предвиђања доприносе бољем разумевању карактеристика које дају оптимално агрегирање информација и ефикасно одређивање цена,</w:t>
      </w:r>
      <w:r w:rsidR="00DF14A7">
        <w:rPr>
          <w:rFonts w:ascii="Times New Roman" w:hAnsi="Times New Roman" w:cs="Times New Roman"/>
        </w:rPr>
        <w:t xml:space="preserve"> а, такође, помажу инвеститорима да одаберу</w:t>
      </w:r>
      <w:r w:rsidR="007B66E9" w:rsidRPr="00DF14A7">
        <w:rPr>
          <w:rFonts w:ascii="Times New Roman" w:hAnsi="Times New Roman" w:cs="Times New Roman"/>
        </w:rPr>
        <w:t xml:space="preserve"> стратегиј</w:t>
      </w:r>
      <w:r w:rsidR="00DF14A7">
        <w:rPr>
          <w:rFonts w:ascii="Times New Roman" w:hAnsi="Times New Roman" w:cs="Times New Roman"/>
        </w:rPr>
        <w:t>у</w:t>
      </w:r>
      <w:r w:rsidR="007B66E9" w:rsidRPr="00DF14A7">
        <w:rPr>
          <w:rFonts w:ascii="Times New Roman" w:hAnsi="Times New Roman" w:cs="Times New Roman"/>
        </w:rPr>
        <w:t xml:space="preserve"> улагања</w:t>
      </w:r>
      <w:r w:rsidR="00DF14A7">
        <w:rPr>
          <w:rFonts w:ascii="Times New Roman" w:hAnsi="Times New Roman" w:cs="Times New Roman"/>
        </w:rPr>
        <w:t xml:space="preserve"> која је у складу са њиховим циљевима.</w:t>
      </w:r>
    </w:p>
    <w:p w14:paraId="4C71F7EC" w14:textId="22B384E6" w:rsidR="00EC7A9D" w:rsidRDefault="00DE2AC5" w:rsidP="00D842FD">
      <w:pPr>
        <w:jc w:val="both"/>
        <w:rPr>
          <w:rFonts w:ascii="Times New Roman" w:hAnsi="Times New Roman" w:cs="Times New Roman"/>
          <w:b/>
          <w:bCs/>
        </w:rPr>
      </w:pPr>
      <w:r w:rsidRPr="00FA731A">
        <w:rPr>
          <w:rFonts w:ascii="Times New Roman" w:hAnsi="Times New Roman" w:cs="Times New Roman"/>
          <w:b/>
          <w:bCs/>
        </w:rPr>
        <w:t>Кључне речи:</w:t>
      </w:r>
      <w:r w:rsidR="00674195" w:rsidRPr="00FA731A">
        <w:rPr>
          <w:rFonts w:ascii="Times New Roman" w:hAnsi="Times New Roman" w:cs="Times New Roman"/>
          <w:b/>
          <w:bCs/>
        </w:rPr>
        <w:t xml:space="preserve"> </w:t>
      </w:r>
      <w:r w:rsidR="00674195" w:rsidRPr="00F904B1">
        <w:rPr>
          <w:rFonts w:ascii="Times New Roman" w:hAnsi="Times New Roman" w:cs="Times New Roman"/>
        </w:rPr>
        <w:t>пре</w:t>
      </w:r>
      <w:r w:rsidR="00F33D51">
        <w:rPr>
          <w:rFonts w:ascii="Times New Roman" w:hAnsi="Times New Roman" w:cs="Times New Roman"/>
          <w:lang w:val="sr-Cyrl-RS"/>
        </w:rPr>
        <w:t>д</w:t>
      </w:r>
      <w:r w:rsidR="00674195" w:rsidRPr="00F904B1">
        <w:rPr>
          <w:rFonts w:ascii="Times New Roman" w:hAnsi="Times New Roman" w:cs="Times New Roman"/>
        </w:rPr>
        <w:t>виђање будућих приноса, вишеструка линеарна регресија</w:t>
      </w:r>
      <w:r w:rsidR="00C409E1" w:rsidRPr="00F904B1">
        <w:rPr>
          <w:rFonts w:ascii="Times New Roman" w:hAnsi="Times New Roman" w:cs="Times New Roman"/>
        </w:rPr>
        <w:t xml:space="preserve">, </w:t>
      </w:r>
      <w:r w:rsidR="00334515">
        <w:rPr>
          <w:rFonts w:ascii="Times New Roman" w:hAnsi="Times New Roman" w:cs="Times New Roman"/>
        </w:rPr>
        <w:t xml:space="preserve">Yahoo Finance, </w:t>
      </w:r>
      <w:r w:rsidR="00C409E1" w:rsidRPr="00F904B1">
        <w:rPr>
          <w:rFonts w:ascii="Times New Roman" w:hAnsi="Times New Roman" w:cs="Times New Roman"/>
        </w:rPr>
        <w:t>SPY, Caterpillar</w:t>
      </w:r>
    </w:p>
    <w:p w14:paraId="26E0043F" w14:textId="193C88F4" w:rsidR="00DD6A27" w:rsidRDefault="00DD6A27" w:rsidP="00D842FD">
      <w:pPr>
        <w:jc w:val="both"/>
        <w:rPr>
          <w:rFonts w:ascii="Times New Roman" w:hAnsi="Times New Roman" w:cs="Times New Roman"/>
          <w:b/>
          <w:bCs/>
        </w:rPr>
      </w:pPr>
    </w:p>
    <w:p w14:paraId="425EAD9D" w14:textId="77777777" w:rsidR="006A56FB" w:rsidRDefault="006A56FB" w:rsidP="00D842FD">
      <w:pPr>
        <w:jc w:val="both"/>
        <w:rPr>
          <w:rFonts w:ascii="Times New Roman" w:hAnsi="Times New Roman" w:cs="Times New Roman"/>
          <w:b/>
          <w:bCs/>
        </w:rPr>
      </w:pPr>
    </w:p>
    <w:p w14:paraId="4B40F160" w14:textId="77777777" w:rsidR="00DE2AC5" w:rsidRPr="00FA731A" w:rsidRDefault="00DE2AC5" w:rsidP="00D842FD">
      <w:pPr>
        <w:jc w:val="both"/>
        <w:rPr>
          <w:rFonts w:ascii="Times New Roman" w:hAnsi="Times New Roman" w:cs="Times New Roman"/>
          <w:b/>
          <w:bCs/>
        </w:rPr>
      </w:pPr>
      <w:r w:rsidRPr="00FA731A">
        <w:rPr>
          <w:rFonts w:ascii="Times New Roman" w:hAnsi="Times New Roman" w:cs="Times New Roman"/>
          <w:b/>
          <w:bCs/>
        </w:rPr>
        <w:t>Увод</w:t>
      </w:r>
    </w:p>
    <w:p w14:paraId="1578C525" w14:textId="77777777" w:rsidR="00A57EB8" w:rsidRPr="00AD4124" w:rsidRDefault="00A57EB8" w:rsidP="00A57EB8">
      <w:pPr>
        <w:jc w:val="both"/>
        <w:rPr>
          <w:rFonts w:ascii="Times New Roman" w:hAnsi="Times New Roman" w:cs="Times New Roman"/>
        </w:rPr>
      </w:pPr>
      <w:r w:rsidRPr="00AD4124">
        <w:rPr>
          <w:rFonts w:ascii="Times New Roman" w:hAnsi="Times New Roman" w:cs="Times New Roman"/>
        </w:rPr>
        <w:t>Стабилност економског система</w:t>
      </w:r>
      <w:r w:rsidR="00B91447">
        <w:rPr>
          <w:rFonts w:ascii="Times New Roman" w:hAnsi="Times New Roman" w:cs="Times New Roman"/>
        </w:rPr>
        <w:t>,</w:t>
      </w:r>
      <w:r w:rsidRPr="00AD4124">
        <w:rPr>
          <w:rFonts w:ascii="Times New Roman" w:hAnsi="Times New Roman" w:cs="Times New Roman"/>
        </w:rPr>
        <w:t xml:space="preserve"> која директно зависи од поузданости финансијског сектора у земљи, кључна је за раст и развој. Због тога је ефикасно управљање ризиком од изузетног значаја како за саме компаније и потенцијалне инвеститоре, тако и за друге финансијске институције. У турбулентном и непредвидивом пословном окружењу сви тржишни учесници су стално изложени ризицима. Кроз ефикасно управљање ризиком, компаније и инвеститори могу смањити негативне последице неизвесности и остварити стабилније резултате у непредвидивом окружењу. То, такође, помаже у задржавању потрошача и инвеститора, што је од кључног значаја за опстанак и успех финансијских институција и компанија.</w:t>
      </w:r>
    </w:p>
    <w:p w14:paraId="552FEB0A" w14:textId="77777777" w:rsidR="00A57EB8" w:rsidRPr="00AD4124" w:rsidRDefault="00A57EB8" w:rsidP="00A57EB8">
      <w:pPr>
        <w:jc w:val="both"/>
        <w:rPr>
          <w:rFonts w:ascii="Times New Roman" w:hAnsi="Times New Roman" w:cs="Times New Roman"/>
        </w:rPr>
      </w:pPr>
      <w:r w:rsidRPr="00AD4124">
        <w:rPr>
          <w:rFonts w:ascii="Times New Roman" w:hAnsi="Times New Roman" w:cs="Times New Roman"/>
        </w:rPr>
        <w:t xml:space="preserve">Глобални крахови на тржиштима се не дешавају изненада, већ их предводе локални и регионални крахови у </w:t>
      </w:r>
      <w:r w:rsidR="006D1FFB">
        <w:rPr>
          <w:rFonts w:ascii="Times New Roman" w:hAnsi="Times New Roman" w:cs="Times New Roman"/>
        </w:rPr>
        <w:t xml:space="preserve">развијеним </w:t>
      </w:r>
      <w:r w:rsidRPr="00AD4124">
        <w:rPr>
          <w:rFonts w:ascii="Times New Roman" w:hAnsi="Times New Roman" w:cs="Times New Roman"/>
        </w:rPr>
        <w:t>економијама</w:t>
      </w:r>
      <w:r w:rsidR="006D1FFB">
        <w:rPr>
          <w:rFonts w:ascii="Times New Roman" w:hAnsi="Times New Roman" w:cs="Times New Roman"/>
        </w:rPr>
        <w:t>.</w:t>
      </w:r>
      <w:r w:rsidRPr="00AD4124">
        <w:rPr>
          <w:rFonts w:ascii="Times New Roman" w:hAnsi="Times New Roman" w:cs="Times New Roman"/>
        </w:rPr>
        <w:t xml:space="preserve"> Чак и када инвеститори нису изложени тржиштима у развоју, требало би да обрате пажњу на ова тржишта, јер локални крахови могу утицати на развијена тржишта. Штавише, међузависност између различитих фактора на финансијском тржишту је од изузетне важности, с обзиром да каматне стопе, приноси на акције и обвезнице и волатилност такође утичу на вероватноће различитих типова берзанског краха.</w:t>
      </w:r>
    </w:p>
    <w:p w14:paraId="2A58CD3B" w14:textId="76E2DA4B" w:rsidR="00A57EB8" w:rsidRPr="00A57EB8" w:rsidRDefault="00A57EB8" w:rsidP="00A57EB8">
      <w:pPr>
        <w:jc w:val="both"/>
        <w:rPr>
          <w:rFonts w:ascii="Times New Roman" w:hAnsi="Times New Roman" w:cs="Times New Roman"/>
        </w:rPr>
      </w:pPr>
      <w:r w:rsidRPr="00AD4124">
        <w:rPr>
          <w:rFonts w:ascii="Times New Roman" w:hAnsi="Times New Roman" w:cs="Times New Roman"/>
        </w:rPr>
        <w:lastRenderedPageBreak/>
        <w:t>Важно је да акционари и потенцијални инвеститори користе релевантне финансијске информације к</w:t>
      </w:r>
      <w:r w:rsidR="00F33D51">
        <w:rPr>
          <w:rFonts w:ascii="Times New Roman" w:hAnsi="Times New Roman" w:cs="Times New Roman"/>
          <w:lang w:val="sr-Cyrl-RS"/>
        </w:rPr>
        <w:t>оје</w:t>
      </w:r>
      <w:r w:rsidRPr="00AD4124">
        <w:rPr>
          <w:rFonts w:ascii="Times New Roman" w:hAnsi="Times New Roman" w:cs="Times New Roman"/>
        </w:rPr>
        <w:t xml:space="preserve"> би им омогућил</w:t>
      </w:r>
      <w:r w:rsidR="00F33D51">
        <w:rPr>
          <w:rFonts w:ascii="Times New Roman" w:hAnsi="Times New Roman" w:cs="Times New Roman"/>
          <w:lang w:val="sr-Cyrl-RS"/>
        </w:rPr>
        <w:t>е</w:t>
      </w:r>
      <w:r w:rsidRPr="00AD4124">
        <w:rPr>
          <w:rFonts w:ascii="Times New Roman" w:hAnsi="Times New Roman" w:cs="Times New Roman"/>
        </w:rPr>
        <w:t xml:space="preserve"> да доносе добре инвестиционе одлуке на берзи. Предвиђање перформанси акција је веома компликовано и тешко. У историји литературе о перформансама акција до данас није предложен свеобухватан, тачан модел за предвиђање перформанси на берзи. Пер</w:t>
      </w:r>
      <w:r w:rsidR="001A5606">
        <w:rPr>
          <w:rFonts w:ascii="Times New Roman" w:hAnsi="Times New Roman" w:cs="Times New Roman"/>
        </w:rPr>
        <w:t>фор</w:t>
      </w:r>
      <w:r w:rsidRPr="00AD4124">
        <w:rPr>
          <w:rFonts w:ascii="Times New Roman" w:hAnsi="Times New Roman" w:cs="Times New Roman"/>
        </w:rPr>
        <w:t>м</w:t>
      </w:r>
      <w:r w:rsidR="001A5606">
        <w:rPr>
          <w:rFonts w:ascii="Times New Roman" w:hAnsi="Times New Roman" w:cs="Times New Roman"/>
        </w:rPr>
        <w:t>а</w:t>
      </w:r>
      <w:r w:rsidRPr="00AD4124">
        <w:rPr>
          <w:rFonts w:ascii="Times New Roman" w:hAnsi="Times New Roman" w:cs="Times New Roman"/>
        </w:rPr>
        <w:t>нсе акција се у одређеној мери могу анализирати на основу финансијских показатеља представљених у годишњим извештајима компанија који садрже огромну количину информација и које се могу трансформисати у различите индикаторе. Претходна истраживања доказују да су финансијски показатељи ва</w:t>
      </w:r>
      <w:r w:rsidR="00282649">
        <w:rPr>
          <w:rFonts w:ascii="Times New Roman" w:hAnsi="Times New Roman" w:cs="Times New Roman"/>
        </w:rPr>
        <w:t>ж</w:t>
      </w:r>
      <w:r w:rsidRPr="00AD4124">
        <w:rPr>
          <w:rFonts w:ascii="Times New Roman" w:hAnsi="Times New Roman" w:cs="Times New Roman"/>
        </w:rPr>
        <w:t>ни алати за процену будућих перформанси акција. Аналитичари, инвеститори и истраживачи их хористе за пројектовање будућих кретања цена акција како би идентификовали обрасце и трендове у финансијским извештајима, те тако да донесу одговарајућу одлуку – о куповини, продаји, задржавању акција</w:t>
      </w:r>
      <w:r w:rsidR="006D7091">
        <w:rPr>
          <w:rFonts w:ascii="Times New Roman" w:hAnsi="Times New Roman" w:cs="Times New Roman"/>
        </w:rPr>
        <w:t xml:space="preserve"> (Dutta, 2012)</w:t>
      </w:r>
      <w:r w:rsidRPr="00AD4124">
        <w:rPr>
          <w:rFonts w:ascii="Times New Roman" w:hAnsi="Times New Roman" w:cs="Times New Roman"/>
        </w:rPr>
        <w:t>. Поред тога, ови показатељи омогућавају инвеститорима да процене финансијско здравље компанија и њихову способност да остваре стабилне и одрживе перформансе у будућности. Стога, анализа финансијских показатеља представља кључни алат у процесу доношења инвестицоних одлука и управљања портфолијом.</w:t>
      </w:r>
    </w:p>
    <w:p w14:paraId="2BC607CF" w14:textId="77777777" w:rsidR="0095282A" w:rsidRDefault="00E26542" w:rsidP="001E2FA8">
      <w:pPr>
        <w:tabs>
          <w:tab w:val="left" w:pos="8325"/>
        </w:tabs>
        <w:jc w:val="both"/>
        <w:rPr>
          <w:rFonts w:ascii="Times New Roman" w:hAnsi="Times New Roman" w:cs="Times New Roman"/>
        </w:rPr>
      </w:pPr>
      <w:r>
        <w:rPr>
          <w:rFonts w:ascii="Times New Roman" w:hAnsi="Times New Roman" w:cs="Times New Roman"/>
        </w:rPr>
        <w:t>Љ</w:t>
      </w:r>
      <w:r w:rsidR="00616643" w:rsidRPr="00FA731A">
        <w:rPr>
          <w:rFonts w:ascii="Times New Roman" w:hAnsi="Times New Roman" w:cs="Times New Roman"/>
        </w:rPr>
        <w:t>уди теже да улажу</w:t>
      </w:r>
      <w:r w:rsidR="00A42115" w:rsidRPr="00FA731A">
        <w:rPr>
          <w:rFonts w:ascii="Times New Roman" w:hAnsi="Times New Roman" w:cs="Times New Roman"/>
        </w:rPr>
        <w:t xml:space="preserve"> свој новац</w:t>
      </w:r>
      <w:r w:rsidR="00616643" w:rsidRPr="00FA731A">
        <w:rPr>
          <w:rFonts w:ascii="Times New Roman" w:hAnsi="Times New Roman" w:cs="Times New Roman"/>
        </w:rPr>
        <w:t xml:space="preserve"> у инструменте који генеришу стабилну стопу приноса</w:t>
      </w:r>
      <w:r w:rsidR="009848ED">
        <w:rPr>
          <w:rFonts w:ascii="Times New Roman" w:hAnsi="Times New Roman" w:cs="Times New Roman"/>
        </w:rPr>
        <w:t>, јер стабилна стопа приноса пружа предвидљивост</w:t>
      </w:r>
      <w:r w:rsidR="00E265BD">
        <w:rPr>
          <w:rFonts w:ascii="Times New Roman" w:hAnsi="Times New Roman" w:cs="Times New Roman"/>
        </w:rPr>
        <w:t xml:space="preserve"> и смањује ризик од губитка уложеног капитала</w:t>
      </w:r>
      <w:r w:rsidR="00616643" w:rsidRPr="00FA731A">
        <w:rPr>
          <w:rFonts w:ascii="Times New Roman" w:hAnsi="Times New Roman" w:cs="Times New Roman"/>
        </w:rPr>
        <w:t>.</w:t>
      </w:r>
      <w:r w:rsidR="00E265BD">
        <w:rPr>
          <w:rFonts w:ascii="Times New Roman" w:hAnsi="Times New Roman" w:cs="Times New Roman"/>
        </w:rPr>
        <w:t xml:space="preserve"> </w:t>
      </w:r>
      <w:r w:rsidR="001E2FA8" w:rsidRPr="001E2FA8">
        <w:rPr>
          <w:rFonts w:ascii="Times New Roman" w:hAnsi="Times New Roman" w:cs="Times New Roman"/>
        </w:rPr>
        <w:t>Са становишта</w:t>
      </w:r>
      <w:r w:rsidR="001E2FA8">
        <w:rPr>
          <w:rFonts w:ascii="Times New Roman" w:hAnsi="Times New Roman" w:cs="Times New Roman"/>
        </w:rPr>
        <w:t xml:space="preserve"> инвеститора</w:t>
      </w:r>
      <w:r w:rsidR="001E2FA8" w:rsidRPr="001E2FA8">
        <w:rPr>
          <w:rFonts w:ascii="Times New Roman" w:hAnsi="Times New Roman" w:cs="Times New Roman"/>
        </w:rPr>
        <w:t>, алокација средстава захтева прогнозе приноса акција у реалном времену</w:t>
      </w:r>
      <w:r w:rsidR="001E2FA8">
        <w:rPr>
          <w:rFonts w:ascii="Times New Roman" w:hAnsi="Times New Roman" w:cs="Times New Roman"/>
        </w:rPr>
        <w:t xml:space="preserve">, а добре и детаљне </w:t>
      </w:r>
      <w:r w:rsidR="001E2FA8" w:rsidRPr="001E2FA8">
        <w:rPr>
          <w:rFonts w:ascii="Times New Roman" w:hAnsi="Times New Roman" w:cs="Times New Roman"/>
        </w:rPr>
        <w:t xml:space="preserve">прогнозе приноса акција обећавају </w:t>
      </w:r>
      <w:r w:rsidR="001E2FA8">
        <w:rPr>
          <w:rFonts w:ascii="Times New Roman" w:hAnsi="Times New Roman" w:cs="Times New Roman"/>
        </w:rPr>
        <w:t>боље</w:t>
      </w:r>
      <w:r w:rsidR="001E2FA8" w:rsidRPr="001E2FA8">
        <w:rPr>
          <w:rFonts w:ascii="Times New Roman" w:hAnsi="Times New Roman" w:cs="Times New Roman"/>
        </w:rPr>
        <w:t xml:space="preserve"> инвестицион</w:t>
      </w:r>
      <w:r w:rsidR="001E2FA8">
        <w:rPr>
          <w:rFonts w:ascii="Times New Roman" w:hAnsi="Times New Roman" w:cs="Times New Roman"/>
        </w:rPr>
        <w:t>е</w:t>
      </w:r>
      <w:r w:rsidR="001E2FA8" w:rsidRPr="001E2FA8">
        <w:rPr>
          <w:rFonts w:ascii="Times New Roman" w:hAnsi="Times New Roman" w:cs="Times New Roman"/>
        </w:rPr>
        <w:t xml:space="preserve"> перформанс</w:t>
      </w:r>
      <w:r w:rsidR="001E2FA8">
        <w:rPr>
          <w:rFonts w:ascii="Times New Roman" w:hAnsi="Times New Roman" w:cs="Times New Roman"/>
        </w:rPr>
        <w:t>е</w:t>
      </w:r>
      <w:r w:rsidR="001E2FA8" w:rsidRPr="001E2FA8">
        <w:rPr>
          <w:rFonts w:ascii="Times New Roman" w:hAnsi="Times New Roman" w:cs="Times New Roman"/>
        </w:rPr>
        <w:t>.</w:t>
      </w:r>
      <w:r w:rsidR="00614CE8">
        <w:rPr>
          <w:rFonts w:ascii="Times New Roman" w:hAnsi="Times New Roman" w:cs="Times New Roman"/>
        </w:rPr>
        <w:t xml:space="preserve"> </w:t>
      </w:r>
      <w:r w:rsidR="00614CE8" w:rsidRPr="00614CE8">
        <w:rPr>
          <w:rFonts w:ascii="Times New Roman" w:hAnsi="Times New Roman" w:cs="Times New Roman"/>
        </w:rPr>
        <w:t>Способност предвиђања приноса акција има значајне импликације за инвеститоре, трговце, портфолио менаџере и</w:t>
      </w:r>
      <w:r w:rsidR="00614CE8">
        <w:rPr>
          <w:rFonts w:ascii="Times New Roman" w:hAnsi="Times New Roman" w:cs="Times New Roman"/>
        </w:rPr>
        <w:t>, уопште</w:t>
      </w:r>
      <w:r w:rsidR="00614CE8" w:rsidRPr="00614CE8">
        <w:rPr>
          <w:rFonts w:ascii="Times New Roman" w:hAnsi="Times New Roman" w:cs="Times New Roman"/>
        </w:rPr>
        <w:t>, за целокупно разумевање финансијских тржишта.</w:t>
      </w:r>
      <w:r w:rsidR="00614CE8" w:rsidRPr="00614CE8">
        <w:t xml:space="preserve"> </w:t>
      </w:r>
      <w:r w:rsidR="00AB2E68">
        <w:rPr>
          <w:rFonts w:ascii="Times New Roman" w:hAnsi="Times New Roman" w:cs="Times New Roman"/>
        </w:rPr>
        <w:t>С</w:t>
      </w:r>
      <w:r w:rsidR="00614CE8" w:rsidRPr="00614CE8">
        <w:rPr>
          <w:rFonts w:ascii="Times New Roman" w:hAnsi="Times New Roman" w:cs="Times New Roman"/>
        </w:rPr>
        <w:t xml:space="preserve">пособност предвиђања приноса акција </w:t>
      </w:r>
      <w:r w:rsidR="00AB2E68">
        <w:rPr>
          <w:rFonts w:ascii="Times New Roman" w:hAnsi="Times New Roman" w:cs="Times New Roman"/>
        </w:rPr>
        <w:t>има</w:t>
      </w:r>
      <w:r w:rsidR="00614CE8" w:rsidRPr="00614CE8">
        <w:rPr>
          <w:rFonts w:ascii="Times New Roman" w:hAnsi="Times New Roman" w:cs="Times New Roman"/>
        </w:rPr>
        <w:t xml:space="preserve"> снажан утицај на инвестиционе одлуке.</w:t>
      </w:r>
      <w:r w:rsidR="00614CE8">
        <w:rPr>
          <w:rFonts w:ascii="Times New Roman" w:hAnsi="Times New Roman" w:cs="Times New Roman"/>
        </w:rPr>
        <w:t xml:space="preserve"> </w:t>
      </w:r>
      <w:r w:rsidR="00614CE8" w:rsidRPr="00614CE8">
        <w:rPr>
          <w:rFonts w:ascii="Times New Roman" w:hAnsi="Times New Roman" w:cs="Times New Roman"/>
        </w:rPr>
        <w:t>Портфолио менаџери могу користити предвиђања приноса акција како би оптимизовали структуру свог портфоли</w:t>
      </w:r>
      <w:r w:rsidR="00614CE8">
        <w:rPr>
          <w:rFonts w:ascii="Times New Roman" w:hAnsi="Times New Roman" w:cs="Times New Roman"/>
        </w:rPr>
        <w:t>ј</w:t>
      </w:r>
      <w:r w:rsidR="00614CE8" w:rsidRPr="00614CE8">
        <w:rPr>
          <w:rFonts w:ascii="Times New Roman" w:hAnsi="Times New Roman" w:cs="Times New Roman"/>
        </w:rPr>
        <w:t xml:space="preserve">а. </w:t>
      </w:r>
      <w:r w:rsidR="00614CE8">
        <w:rPr>
          <w:rFonts w:ascii="Times New Roman" w:hAnsi="Times New Roman" w:cs="Times New Roman"/>
        </w:rPr>
        <w:t>С друге стране, р</w:t>
      </w:r>
      <w:r w:rsidR="00614CE8" w:rsidRPr="00614CE8">
        <w:rPr>
          <w:rFonts w:ascii="Times New Roman" w:hAnsi="Times New Roman" w:cs="Times New Roman"/>
        </w:rPr>
        <w:t xml:space="preserve">азумевање предвиђања приноса може помоћи у идентификацији и управљању ризиком. </w:t>
      </w:r>
      <w:r w:rsidR="001F61F9">
        <w:rPr>
          <w:rFonts w:ascii="Times New Roman" w:hAnsi="Times New Roman" w:cs="Times New Roman"/>
        </w:rPr>
        <w:t>Оне,</w:t>
      </w:r>
      <w:r w:rsidR="00614CE8" w:rsidRPr="00614CE8">
        <w:rPr>
          <w:rFonts w:ascii="Times New Roman" w:hAnsi="Times New Roman" w:cs="Times New Roman"/>
        </w:rPr>
        <w:t xml:space="preserve"> такође</w:t>
      </w:r>
      <w:r w:rsidR="001F61F9">
        <w:rPr>
          <w:rFonts w:ascii="Times New Roman" w:hAnsi="Times New Roman" w:cs="Times New Roman"/>
        </w:rPr>
        <w:t>,</w:t>
      </w:r>
      <w:r w:rsidR="00614CE8" w:rsidRPr="00614CE8">
        <w:rPr>
          <w:rFonts w:ascii="Times New Roman" w:hAnsi="Times New Roman" w:cs="Times New Roman"/>
        </w:rPr>
        <w:t xml:space="preserve"> могу бити битне за финансијско планирање. </w:t>
      </w:r>
      <w:r w:rsidR="00614CE8">
        <w:rPr>
          <w:rFonts w:ascii="Times New Roman" w:hAnsi="Times New Roman" w:cs="Times New Roman"/>
        </w:rPr>
        <w:t>Појединци</w:t>
      </w:r>
      <w:r w:rsidR="00614CE8" w:rsidRPr="00614CE8">
        <w:rPr>
          <w:rFonts w:ascii="Times New Roman" w:hAnsi="Times New Roman" w:cs="Times New Roman"/>
        </w:rPr>
        <w:t xml:space="preserve"> и предузећа могу користити ова предвиђања као основу за доношење одлука о планирању буџета, улагањ</w:t>
      </w:r>
      <w:r w:rsidR="00614CE8">
        <w:rPr>
          <w:rFonts w:ascii="Times New Roman" w:hAnsi="Times New Roman" w:cs="Times New Roman"/>
        </w:rPr>
        <w:t>у</w:t>
      </w:r>
      <w:r w:rsidR="00614CE8" w:rsidRPr="00614CE8">
        <w:rPr>
          <w:rFonts w:ascii="Times New Roman" w:hAnsi="Times New Roman" w:cs="Times New Roman"/>
        </w:rPr>
        <w:t>.</w:t>
      </w:r>
      <w:r w:rsidR="00614CE8">
        <w:rPr>
          <w:rFonts w:ascii="Times New Roman" w:hAnsi="Times New Roman" w:cs="Times New Roman"/>
        </w:rPr>
        <w:t xml:space="preserve"> </w:t>
      </w:r>
      <w:r w:rsidR="00614CE8" w:rsidRPr="00614CE8">
        <w:rPr>
          <w:rFonts w:ascii="Times New Roman" w:hAnsi="Times New Roman" w:cs="Times New Roman"/>
        </w:rPr>
        <w:t>Приноси акција</w:t>
      </w:r>
      <w:r w:rsidR="001F61F9">
        <w:rPr>
          <w:rFonts w:ascii="Times New Roman" w:hAnsi="Times New Roman" w:cs="Times New Roman"/>
        </w:rPr>
        <w:t>,</w:t>
      </w:r>
      <w:r w:rsidR="00614CE8" w:rsidRPr="00614CE8">
        <w:rPr>
          <w:rFonts w:ascii="Times New Roman" w:hAnsi="Times New Roman" w:cs="Times New Roman"/>
        </w:rPr>
        <w:t xml:space="preserve"> </w:t>
      </w:r>
      <w:r w:rsidR="00393F62">
        <w:rPr>
          <w:rFonts w:ascii="Times New Roman" w:hAnsi="Times New Roman" w:cs="Times New Roman"/>
        </w:rPr>
        <w:t>исто тако</w:t>
      </w:r>
      <w:r w:rsidR="001F61F9">
        <w:rPr>
          <w:rFonts w:ascii="Times New Roman" w:hAnsi="Times New Roman" w:cs="Times New Roman"/>
        </w:rPr>
        <w:t>,</w:t>
      </w:r>
      <w:r w:rsidR="00614CE8" w:rsidRPr="00614CE8">
        <w:rPr>
          <w:rFonts w:ascii="Times New Roman" w:hAnsi="Times New Roman" w:cs="Times New Roman"/>
        </w:rPr>
        <w:t xml:space="preserve"> могу служити као индикатори </w:t>
      </w:r>
      <w:r w:rsidR="00614CE8">
        <w:rPr>
          <w:rFonts w:ascii="Times New Roman" w:hAnsi="Times New Roman" w:cs="Times New Roman"/>
        </w:rPr>
        <w:t>општег здравља економије</w:t>
      </w:r>
      <w:r w:rsidR="001F61F9">
        <w:rPr>
          <w:rFonts w:ascii="Times New Roman" w:hAnsi="Times New Roman" w:cs="Times New Roman"/>
        </w:rPr>
        <w:t>,</w:t>
      </w:r>
      <w:r w:rsidR="0095282A">
        <w:rPr>
          <w:rFonts w:ascii="Times New Roman" w:hAnsi="Times New Roman" w:cs="Times New Roman"/>
        </w:rPr>
        <w:t xml:space="preserve"> јер </w:t>
      </w:r>
      <w:r w:rsidR="00614CE8" w:rsidRPr="00614CE8">
        <w:rPr>
          <w:rFonts w:ascii="Times New Roman" w:hAnsi="Times New Roman" w:cs="Times New Roman"/>
        </w:rPr>
        <w:t>често реагују на економске и политичке догађаје.</w:t>
      </w:r>
      <w:r w:rsidR="00614CE8">
        <w:rPr>
          <w:rFonts w:ascii="Times New Roman" w:hAnsi="Times New Roman" w:cs="Times New Roman"/>
        </w:rPr>
        <w:t xml:space="preserve"> </w:t>
      </w:r>
      <w:r w:rsidR="00614CE8" w:rsidRPr="00614CE8">
        <w:rPr>
          <w:rFonts w:ascii="Times New Roman" w:hAnsi="Times New Roman" w:cs="Times New Roman"/>
        </w:rPr>
        <w:t xml:space="preserve">Важно је истаћи да је предвиђање приноса акција изазовно и да су сви инвестициони ризици укључени. </w:t>
      </w:r>
      <w:r w:rsidR="00C80B6F" w:rsidRPr="00FA731A">
        <w:rPr>
          <w:rFonts w:ascii="Times New Roman" w:hAnsi="Times New Roman" w:cs="Times New Roman"/>
        </w:rPr>
        <w:t xml:space="preserve">На </w:t>
      </w:r>
      <w:r w:rsidR="00A626CA" w:rsidRPr="00FA731A">
        <w:rPr>
          <w:rFonts w:ascii="Times New Roman" w:hAnsi="Times New Roman" w:cs="Times New Roman"/>
        </w:rPr>
        <w:t xml:space="preserve">волатилност </w:t>
      </w:r>
      <w:r w:rsidR="00C80B6F" w:rsidRPr="00FA731A">
        <w:rPr>
          <w:rFonts w:ascii="Times New Roman" w:hAnsi="Times New Roman" w:cs="Times New Roman"/>
        </w:rPr>
        <w:t>цена неке акције утичу интерни, које би компанија могла да контролише (трошкови производње неког производа, сировине које се користе), и екстерни фактори (монетарна политика, девизни курс…). Приликом предвиђања кретања цена хартије веома је битно да се узму у обзир сви релевантни фактори. Треба имати на уму да се током временског периода може мењати значај, односно</w:t>
      </w:r>
      <w:r w:rsidR="0095282A">
        <w:rPr>
          <w:rFonts w:ascii="Times New Roman" w:hAnsi="Times New Roman" w:cs="Times New Roman"/>
        </w:rPr>
        <w:t xml:space="preserve"> утицај</w:t>
      </w:r>
      <w:r w:rsidR="00C80B6F" w:rsidRPr="00FA731A">
        <w:rPr>
          <w:rFonts w:ascii="Times New Roman" w:hAnsi="Times New Roman" w:cs="Times New Roman"/>
        </w:rPr>
        <w:t xml:space="preserve"> појединих фактора.</w:t>
      </w:r>
      <w:r w:rsidR="002622B2">
        <w:rPr>
          <w:rFonts w:ascii="Times New Roman" w:hAnsi="Times New Roman" w:cs="Times New Roman"/>
        </w:rPr>
        <w:t xml:space="preserve"> </w:t>
      </w:r>
      <w:r w:rsidR="00614CE8" w:rsidRPr="00614CE8">
        <w:rPr>
          <w:rFonts w:ascii="Times New Roman" w:hAnsi="Times New Roman" w:cs="Times New Roman"/>
        </w:rPr>
        <w:t xml:space="preserve">Резултати могу бити подложни променама у бројним </w:t>
      </w:r>
      <w:r w:rsidR="0095282A">
        <w:rPr>
          <w:rFonts w:ascii="Times New Roman" w:hAnsi="Times New Roman" w:cs="Times New Roman"/>
        </w:rPr>
        <w:t>ситуацијама</w:t>
      </w:r>
      <w:r w:rsidR="00614CE8" w:rsidRPr="00614CE8">
        <w:rPr>
          <w:rFonts w:ascii="Times New Roman" w:hAnsi="Times New Roman" w:cs="Times New Roman"/>
        </w:rPr>
        <w:t>, укључујући економске, друштвене и политичке промене.</w:t>
      </w:r>
      <w:r w:rsidR="00614CE8">
        <w:rPr>
          <w:rFonts w:ascii="Times New Roman" w:hAnsi="Times New Roman" w:cs="Times New Roman"/>
        </w:rPr>
        <w:t xml:space="preserve"> </w:t>
      </w:r>
    </w:p>
    <w:p w14:paraId="67264C97" w14:textId="77777777" w:rsidR="00A42115" w:rsidRPr="001E2FA8" w:rsidRDefault="00A42115" w:rsidP="001E2FA8">
      <w:pPr>
        <w:tabs>
          <w:tab w:val="left" w:pos="8325"/>
        </w:tabs>
        <w:jc w:val="both"/>
        <w:rPr>
          <w:rFonts w:ascii="Times New Roman" w:hAnsi="Times New Roman" w:cs="Times New Roman"/>
        </w:rPr>
      </w:pPr>
      <w:r w:rsidRPr="00FA731A">
        <w:rPr>
          <w:rFonts w:ascii="Times New Roman" w:hAnsi="Times New Roman" w:cs="Times New Roman"/>
        </w:rPr>
        <w:t>Берзе представљају бољу платформу</w:t>
      </w:r>
      <w:r w:rsidR="009E1EBE">
        <w:rPr>
          <w:rFonts w:ascii="Times New Roman" w:hAnsi="Times New Roman" w:cs="Times New Roman"/>
        </w:rPr>
        <w:t xml:space="preserve"> за инвестиције</w:t>
      </w:r>
      <w:r w:rsidRPr="00FA731A">
        <w:rPr>
          <w:rFonts w:ascii="Times New Roman" w:hAnsi="Times New Roman" w:cs="Times New Roman"/>
        </w:rPr>
        <w:t xml:space="preserve"> у поређењу са традиционалним банкарским инвестицијама</w:t>
      </w:r>
      <w:r w:rsidR="009E1EBE">
        <w:rPr>
          <w:rFonts w:ascii="Times New Roman" w:hAnsi="Times New Roman" w:cs="Times New Roman"/>
        </w:rPr>
        <w:t xml:space="preserve">, </w:t>
      </w:r>
      <w:r w:rsidR="009E1EBE" w:rsidRPr="00F33D51">
        <w:rPr>
          <w:rFonts w:ascii="Times New Roman" w:hAnsi="Times New Roman" w:cs="Times New Roman"/>
        </w:rPr>
        <w:t>јер омогућавају бржу</w:t>
      </w:r>
      <w:r w:rsidR="009E1EBE" w:rsidRPr="009E1EBE">
        <w:rPr>
          <w:rFonts w:ascii="Times New Roman" w:hAnsi="Times New Roman" w:cs="Times New Roman"/>
        </w:rPr>
        <w:t xml:space="preserve"> и једноставнију трговину, већу прозирност и </w:t>
      </w:r>
      <w:r w:rsidR="00153F50">
        <w:rPr>
          <w:rFonts w:ascii="Times New Roman" w:hAnsi="Times New Roman" w:cs="Times New Roman"/>
        </w:rPr>
        <w:t>транспарентност</w:t>
      </w:r>
      <w:r w:rsidR="009E1EBE" w:rsidRPr="009E1EBE">
        <w:rPr>
          <w:rFonts w:ascii="Times New Roman" w:hAnsi="Times New Roman" w:cs="Times New Roman"/>
        </w:rPr>
        <w:t xml:space="preserve"> различитим инвестиционим производима, као и могућност</w:t>
      </w:r>
      <w:r w:rsidR="00153F50">
        <w:rPr>
          <w:rFonts w:ascii="Times New Roman" w:hAnsi="Times New Roman" w:cs="Times New Roman"/>
        </w:rPr>
        <w:t xml:space="preserve"> </w:t>
      </w:r>
      <w:r w:rsidR="009E1EBE" w:rsidRPr="009E1EBE">
        <w:rPr>
          <w:rFonts w:ascii="Times New Roman" w:hAnsi="Times New Roman" w:cs="Times New Roman"/>
        </w:rPr>
        <w:t>праћењ</w:t>
      </w:r>
      <w:r w:rsidR="00153F50">
        <w:rPr>
          <w:rFonts w:ascii="Times New Roman" w:hAnsi="Times New Roman" w:cs="Times New Roman"/>
        </w:rPr>
        <w:t>а</w:t>
      </w:r>
      <w:r w:rsidR="009E1EBE" w:rsidRPr="009E1EBE">
        <w:rPr>
          <w:rFonts w:ascii="Times New Roman" w:hAnsi="Times New Roman" w:cs="Times New Roman"/>
        </w:rPr>
        <w:t xml:space="preserve"> тржишних трендова у реалном времену</w:t>
      </w:r>
      <w:r w:rsidRPr="00FA731A">
        <w:rPr>
          <w:rFonts w:ascii="Times New Roman" w:hAnsi="Times New Roman" w:cs="Times New Roman"/>
        </w:rPr>
        <w:t>.</w:t>
      </w:r>
      <w:r w:rsidR="00614CE8">
        <w:rPr>
          <w:rFonts w:ascii="Times New Roman" w:hAnsi="Times New Roman" w:cs="Times New Roman"/>
        </w:rPr>
        <w:t xml:space="preserve"> </w:t>
      </w:r>
      <w:r w:rsidR="00FB320C" w:rsidRPr="00FB320C">
        <w:rPr>
          <w:rFonts w:ascii="Times New Roman" w:hAnsi="Times New Roman" w:cs="Times New Roman"/>
        </w:rPr>
        <w:t>Мекер је још давне 1922. године записао да су организоване берзе, без сумње, најсигурнија, најдемократичнија и најефикаснија позната врста тржишта.</w:t>
      </w:r>
      <w:r w:rsidR="00FB320C">
        <w:rPr>
          <w:rFonts w:ascii="Times New Roman" w:hAnsi="Times New Roman" w:cs="Times New Roman"/>
        </w:rPr>
        <w:t xml:space="preserve"> </w:t>
      </w:r>
      <w:r w:rsidRPr="00FA731A">
        <w:rPr>
          <w:rFonts w:ascii="Times New Roman" w:hAnsi="Times New Roman" w:cs="Times New Roman"/>
        </w:rPr>
        <w:t xml:space="preserve">Берза представља </w:t>
      </w:r>
      <w:r w:rsidR="00CF419C" w:rsidRPr="00FA731A">
        <w:rPr>
          <w:rFonts w:ascii="Times New Roman" w:hAnsi="Times New Roman" w:cs="Times New Roman"/>
        </w:rPr>
        <w:t xml:space="preserve">неутралан терен </w:t>
      </w:r>
      <w:r w:rsidRPr="00FA731A">
        <w:rPr>
          <w:rFonts w:ascii="Times New Roman" w:hAnsi="Times New Roman" w:cs="Times New Roman"/>
        </w:rPr>
        <w:t xml:space="preserve">који омогућава инвеститорима да купују и продају финансијске инструменте између себе, као и компанијама да прикупе новац емитовањем нових хартија од вредности. </w:t>
      </w:r>
      <w:r w:rsidR="00CF419C" w:rsidRPr="00FA731A">
        <w:rPr>
          <w:rFonts w:ascii="Times New Roman" w:hAnsi="Times New Roman" w:cs="Times New Roman"/>
        </w:rPr>
        <w:t xml:space="preserve">Улагања у акције </w:t>
      </w:r>
      <w:r w:rsidRPr="00FA731A">
        <w:rPr>
          <w:rFonts w:ascii="Times New Roman" w:hAnsi="Times New Roman" w:cs="Times New Roman"/>
        </w:rPr>
        <w:t>доносе више</w:t>
      </w:r>
      <w:r w:rsidR="00CF419C" w:rsidRPr="00FA731A">
        <w:rPr>
          <w:rFonts w:ascii="Times New Roman" w:hAnsi="Times New Roman" w:cs="Times New Roman"/>
        </w:rPr>
        <w:t xml:space="preserve"> профита него депозити у банкама</w:t>
      </w:r>
      <w:r w:rsidRPr="00FA731A">
        <w:rPr>
          <w:rFonts w:ascii="Times New Roman" w:hAnsi="Times New Roman" w:cs="Times New Roman"/>
        </w:rPr>
        <w:t xml:space="preserve"> </w:t>
      </w:r>
      <w:r w:rsidR="00CF419C" w:rsidRPr="00FA731A">
        <w:rPr>
          <w:rFonts w:ascii="Times New Roman" w:hAnsi="Times New Roman" w:cs="Times New Roman"/>
        </w:rPr>
        <w:t>и обвезнице.</w:t>
      </w:r>
      <w:r w:rsidRPr="00FA731A">
        <w:rPr>
          <w:rFonts w:ascii="Times New Roman" w:hAnsi="Times New Roman" w:cs="Times New Roman"/>
        </w:rPr>
        <w:t xml:space="preserve"> </w:t>
      </w:r>
      <w:r w:rsidR="00CF419C" w:rsidRPr="00FA731A">
        <w:rPr>
          <w:rFonts w:ascii="Times New Roman" w:hAnsi="Times New Roman" w:cs="Times New Roman"/>
        </w:rPr>
        <w:t xml:space="preserve">Међутим, већи профит долази са већим ризицима повезаним са </w:t>
      </w:r>
      <w:r w:rsidRPr="00FA731A">
        <w:rPr>
          <w:rFonts w:ascii="Times New Roman" w:hAnsi="Times New Roman" w:cs="Times New Roman"/>
        </w:rPr>
        <w:t xml:space="preserve">берзанским </w:t>
      </w:r>
      <w:r w:rsidR="00CF419C" w:rsidRPr="00FA731A">
        <w:rPr>
          <w:rFonts w:ascii="Times New Roman" w:hAnsi="Times New Roman" w:cs="Times New Roman"/>
        </w:rPr>
        <w:t>курсевима.</w:t>
      </w:r>
      <w:r w:rsidRPr="00FA731A">
        <w:rPr>
          <w:rFonts w:ascii="Times New Roman" w:hAnsi="Times New Roman" w:cs="Times New Roman"/>
        </w:rPr>
        <w:t xml:space="preserve"> </w:t>
      </w:r>
      <w:r w:rsidR="002622B2" w:rsidRPr="006D6425">
        <w:rPr>
          <w:rFonts w:ascii="Times New Roman" w:hAnsi="Times New Roman" w:cs="Times New Roman"/>
        </w:rPr>
        <w:t>Берзе су сложени системи и многи флуктуирајући фактори делују и делују на берзу на нелинеаран и динамичан начин</w:t>
      </w:r>
      <w:r w:rsidR="00282649">
        <w:rPr>
          <w:rFonts w:ascii="Times New Roman" w:hAnsi="Times New Roman" w:cs="Times New Roman"/>
        </w:rPr>
        <w:t xml:space="preserve"> (Dionisio, Menezes &amp; Mendes, 2006)</w:t>
      </w:r>
      <w:r w:rsidR="002622B2" w:rsidRPr="006D6425">
        <w:rPr>
          <w:rFonts w:ascii="Times New Roman" w:hAnsi="Times New Roman" w:cs="Times New Roman"/>
        </w:rPr>
        <w:t xml:space="preserve">. На тржиште акција утичу многи међусобно повезани фактори, који укључују: економске варијабле, варијабле специфичне за индустрију, варијабле специфичне за предузеће, психолошке варијабле инвеститора и политичке варијабле </w:t>
      </w:r>
      <w:r w:rsidR="00DD0E67" w:rsidRPr="006D6425">
        <w:rPr>
          <w:rFonts w:ascii="Times New Roman" w:hAnsi="Times New Roman" w:cs="Times New Roman"/>
        </w:rPr>
        <w:t xml:space="preserve">који узрокују флуктуацију стопе приноса акција након кратких временскиих </w:t>
      </w:r>
      <w:r w:rsidR="00DD0E67" w:rsidRPr="006D6425">
        <w:rPr>
          <w:rFonts w:ascii="Times New Roman" w:hAnsi="Times New Roman" w:cs="Times New Roman"/>
        </w:rPr>
        <w:lastRenderedPageBreak/>
        <w:t>интервала</w:t>
      </w:r>
      <w:r w:rsidR="00785FBE">
        <w:rPr>
          <w:rFonts w:ascii="Times New Roman" w:hAnsi="Times New Roman" w:cs="Times New Roman"/>
        </w:rPr>
        <w:t xml:space="preserve"> (Zhong &amp; Enke, 2017)</w:t>
      </w:r>
      <w:r w:rsidR="002622B2" w:rsidRPr="006D6425">
        <w:rPr>
          <w:rFonts w:ascii="Times New Roman" w:hAnsi="Times New Roman" w:cs="Times New Roman"/>
        </w:rPr>
        <w:t>.</w:t>
      </w:r>
      <w:r w:rsidR="00CF419C" w:rsidRPr="006D6425">
        <w:rPr>
          <w:rFonts w:ascii="Times New Roman" w:hAnsi="Times New Roman" w:cs="Times New Roman"/>
        </w:rPr>
        <w:t xml:space="preserve"> Из тог разлога</w:t>
      </w:r>
      <w:r w:rsidR="00CF419C" w:rsidRPr="00FA731A">
        <w:rPr>
          <w:rFonts w:ascii="Times New Roman" w:hAnsi="Times New Roman" w:cs="Times New Roman"/>
        </w:rPr>
        <w:t>, инвеститори и</w:t>
      </w:r>
      <w:r w:rsidRPr="00FA731A">
        <w:rPr>
          <w:rFonts w:ascii="Times New Roman" w:hAnsi="Times New Roman" w:cs="Times New Roman"/>
        </w:rPr>
        <w:t xml:space="preserve"> </w:t>
      </w:r>
      <w:r w:rsidR="00CF419C" w:rsidRPr="00FA731A">
        <w:rPr>
          <w:rFonts w:ascii="Times New Roman" w:hAnsi="Times New Roman" w:cs="Times New Roman"/>
        </w:rPr>
        <w:t xml:space="preserve">брокери купују и продају акције у кратком временском интервалу. </w:t>
      </w:r>
    </w:p>
    <w:p w14:paraId="43552621" w14:textId="77777777" w:rsidR="009B33EC" w:rsidRPr="00FA731A" w:rsidRDefault="009B33EC" w:rsidP="00D842FD">
      <w:pPr>
        <w:tabs>
          <w:tab w:val="left" w:pos="8325"/>
        </w:tabs>
        <w:jc w:val="both"/>
        <w:rPr>
          <w:rFonts w:ascii="Times New Roman" w:hAnsi="Times New Roman" w:cs="Times New Roman"/>
        </w:rPr>
      </w:pPr>
      <w:r w:rsidRPr="00FA731A">
        <w:rPr>
          <w:rFonts w:ascii="Times New Roman" w:hAnsi="Times New Roman" w:cs="Times New Roman"/>
        </w:rPr>
        <w:t xml:space="preserve">На Yahoo Finance-у, америчкој финансијској платформи, могу се пратити најновије вести из света финансија, анализирати тржишта. Једна од најистакнутијих функција Yahoo Finance-а је могућност праћења свих релевантних података о акцијама, </w:t>
      </w:r>
      <w:r w:rsidR="00326D94">
        <w:rPr>
          <w:rFonts w:ascii="Times New Roman" w:hAnsi="Times New Roman" w:cs="Times New Roman"/>
        </w:rPr>
        <w:t>обвезницама</w:t>
      </w:r>
      <w:r w:rsidR="00A73428">
        <w:rPr>
          <w:rFonts w:ascii="Times New Roman" w:hAnsi="Times New Roman" w:cs="Times New Roman"/>
        </w:rPr>
        <w:t>,</w:t>
      </w:r>
      <w:r w:rsidRPr="00FA731A">
        <w:rPr>
          <w:rFonts w:ascii="Times New Roman" w:hAnsi="Times New Roman" w:cs="Times New Roman"/>
        </w:rPr>
        <w:t xml:space="preserve"> индексима и другим инвестиционим инструментима. Потенцијални инвеститори могу прегледати основне информације о било којој компанији, укључујући цене акција, графиконе кретања цена, односе котација. Такође, Yahoo Finance обезбеђује аналитичке алате и индикаторе који помажу инвеститорима у доношењу инвестиционих одлука. Поред тога, Yahoo Finance је познат и по својим вести</w:t>
      </w:r>
      <w:r w:rsidR="0095282A">
        <w:rPr>
          <w:rFonts w:ascii="Times New Roman" w:hAnsi="Times New Roman" w:cs="Times New Roman"/>
        </w:rPr>
        <w:t>ма</w:t>
      </w:r>
      <w:r w:rsidRPr="00FA731A">
        <w:rPr>
          <w:rFonts w:ascii="Times New Roman" w:hAnsi="Times New Roman" w:cs="Times New Roman"/>
        </w:rPr>
        <w:t xml:space="preserve"> и садржајима о финансијским тржиштима. Корисници могу читати анализе и коментаре врхунских економских стручњака, како би били информисани о текућим догађајима и трендовима на тржишту.</w:t>
      </w:r>
    </w:p>
    <w:p w14:paraId="01552498" w14:textId="77777777" w:rsidR="00B63476" w:rsidRDefault="0019657E" w:rsidP="00B23F95">
      <w:pPr>
        <w:jc w:val="both"/>
        <w:rPr>
          <w:rFonts w:ascii="Times New Roman" w:hAnsi="Times New Roman" w:cs="Times New Roman"/>
        </w:rPr>
      </w:pPr>
      <w:r w:rsidRPr="00FA731A">
        <w:rPr>
          <w:rFonts w:ascii="Times New Roman" w:hAnsi="Times New Roman" w:cs="Times New Roman"/>
        </w:rPr>
        <w:t>У овом раду испитива</w:t>
      </w:r>
      <w:r w:rsidR="00260760">
        <w:rPr>
          <w:rFonts w:ascii="Times New Roman" w:hAnsi="Times New Roman" w:cs="Times New Roman"/>
        </w:rPr>
        <w:t>ће се</w:t>
      </w:r>
      <w:r w:rsidRPr="00FA731A">
        <w:rPr>
          <w:rFonts w:ascii="Times New Roman" w:hAnsi="Times New Roman" w:cs="Times New Roman"/>
        </w:rPr>
        <w:t xml:space="preserve"> предвиђање кретања приноса акциј</w:t>
      </w:r>
      <w:r w:rsidR="00DD5906">
        <w:rPr>
          <w:rFonts w:ascii="Times New Roman" w:hAnsi="Times New Roman" w:cs="Times New Roman"/>
        </w:rPr>
        <w:t>а</w:t>
      </w:r>
      <w:r w:rsidRPr="00FA731A">
        <w:rPr>
          <w:rFonts w:ascii="Times New Roman" w:hAnsi="Times New Roman" w:cs="Times New Roman"/>
        </w:rPr>
        <w:t xml:space="preserve"> </w:t>
      </w:r>
      <w:r w:rsidR="00627E54" w:rsidRPr="00627E54">
        <w:rPr>
          <w:rFonts w:ascii="Times New Roman" w:hAnsi="Times New Roman" w:cs="Times New Roman"/>
        </w:rPr>
        <w:t>Caterpillar</w:t>
      </w:r>
      <w:r w:rsidR="00627E54">
        <w:rPr>
          <w:rFonts w:ascii="Times New Roman" w:hAnsi="Times New Roman" w:cs="Times New Roman"/>
        </w:rPr>
        <w:t>-a</w:t>
      </w:r>
      <w:r w:rsidR="0095282A">
        <w:rPr>
          <w:rFonts w:ascii="Times New Roman" w:hAnsi="Times New Roman" w:cs="Times New Roman"/>
        </w:rPr>
        <w:t>, светски познатог произвођача грађевинских и рударских машина,</w:t>
      </w:r>
      <w:r w:rsidR="00627E54">
        <w:rPr>
          <w:rFonts w:ascii="Times New Roman" w:hAnsi="Times New Roman" w:cs="Times New Roman"/>
        </w:rPr>
        <w:t xml:space="preserve"> </w:t>
      </w:r>
      <w:r w:rsidRPr="00FA731A">
        <w:rPr>
          <w:rFonts w:ascii="Times New Roman" w:hAnsi="Times New Roman" w:cs="Times New Roman"/>
        </w:rPr>
        <w:t>коришћењем линеарне регресије</w:t>
      </w:r>
      <w:r w:rsidR="002622B2">
        <w:rPr>
          <w:rFonts w:ascii="Times New Roman" w:hAnsi="Times New Roman" w:cs="Times New Roman"/>
        </w:rPr>
        <w:t xml:space="preserve"> као математичко-статистичк</w:t>
      </w:r>
      <w:r w:rsidR="00260760">
        <w:rPr>
          <w:rFonts w:ascii="Times New Roman" w:hAnsi="Times New Roman" w:cs="Times New Roman"/>
        </w:rPr>
        <w:t>ог</w:t>
      </w:r>
      <w:r w:rsidR="002622B2">
        <w:rPr>
          <w:rFonts w:ascii="Times New Roman" w:hAnsi="Times New Roman" w:cs="Times New Roman"/>
        </w:rPr>
        <w:t xml:space="preserve"> модел</w:t>
      </w:r>
      <w:r w:rsidR="00260760">
        <w:rPr>
          <w:rFonts w:ascii="Times New Roman" w:hAnsi="Times New Roman" w:cs="Times New Roman"/>
        </w:rPr>
        <w:t>а</w:t>
      </w:r>
      <w:r w:rsidRPr="00FA731A">
        <w:rPr>
          <w:rFonts w:ascii="Times New Roman" w:hAnsi="Times New Roman" w:cs="Times New Roman"/>
        </w:rPr>
        <w:t>.</w:t>
      </w:r>
      <w:r w:rsidR="00C74870">
        <w:rPr>
          <w:rFonts w:ascii="Times New Roman" w:hAnsi="Times New Roman" w:cs="Times New Roman"/>
        </w:rPr>
        <w:t xml:space="preserve"> </w:t>
      </w:r>
      <w:r w:rsidR="00DD5906">
        <w:rPr>
          <w:rFonts w:ascii="Times New Roman" w:hAnsi="Times New Roman" w:cs="Times New Roman"/>
        </w:rPr>
        <w:t>Ослањаћемо се на CAPM (</w:t>
      </w:r>
      <w:r w:rsidR="00DD5906" w:rsidRPr="00DD5906">
        <w:rPr>
          <w:rFonts w:ascii="Times New Roman" w:hAnsi="Times New Roman" w:cs="Times New Roman"/>
        </w:rPr>
        <w:t>Capital Asset Pricing Model</w:t>
      </w:r>
      <w:r w:rsidR="00DD5906">
        <w:rPr>
          <w:rFonts w:ascii="Times New Roman" w:hAnsi="Times New Roman" w:cs="Times New Roman"/>
        </w:rPr>
        <w:t xml:space="preserve">) теорију у циљу да Модел равнотежног вредновања активе </w:t>
      </w:r>
      <w:r w:rsidR="00260760">
        <w:rPr>
          <w:rFonts w:ascii="Times New Roman" w:hAnsi="Times New Roman" w:cs="Times New Roman"/>
        </w:rPr>
        <w:t>буде коришћен</w:t>
      </w:r>
      <w:r w:rsidR="00DD5906">
        <w:rPr>
          <w:rFonts w:ascii="Times New Roman" w:hAnsi="Times New Roman" w:cs="Times New Roman"/>
        </w:rPr>
        <w:t xml:space="preserve"> као бенчмарк модел који ћемо покушати да унапредимо додавањем нових предиктора.</w:t>
      </w:r>
      <w:r w:rsidR="0095282A">
        <w:rPr>
          <w:rFonts w:ascii="Times New Roman" w:hAnsi="Times New Roman" w:cs="Times New Roman"/>
        </w:rPr>
        <w:t xml:space="preserve"> Као предикторе </w:t>
      </w:r>
      <w:r w:rsidR="00C74870" w:rsidRPr="0095282A">
        <w:rPr>
          <w:rFonts w:ascii="Times New Roman" w:hAnsi="Times New Roman" w:cs="Times New Roman"/>
        </w:rPr>
        <w:t>користићемо податке о кретањима приноса сировина које су неопходне за CAT-ову производњу.</w:t>
      </w:r>
      <w:r w:rsidR="0085608A">
        <w:rPr>
          <w:rFonts w:ascii="Times New Roman" w:hAnsi="Times New Roman" w:cs="Times New Roman"/>
        </w:rPr>
        <w:t xml:space="preserve"> Предмет истраживања ће бити анализа утицаја </w:t>
      </w:r>
      <w:r w:rsidR="0036013B">
        <w:rPr>
          <w:rFonts w:ascii="Times New Roman" w:hAnsi="Times New Roman" w:cs="Times New Roman"/>
          <w:lang w:val="sr-Cyrl-RS"/>
        </w:rPr>
        <w:t>берзанских индекса</w:t>
      </w:r>
      <w:r w:rsidR="00570509">
        <w:rPr>
          <w:rFonts w:ascii="Times New Roman" w:hAnsi="Times New Roman" w:cs="Times New Roman"/>
          <w:lang w:val="sr-Cyrl-RS"/>
        </w:rPr>
        <w:t xml:space="preserve"> </w:t>
      </w:r>
      <w:r w:rsidR="0036013B">
        <w:rPr>
          <w:rFonts w:ascii="Times New Roman" w:hAnsi="Times New Roman" w:cs="Times New Roman"/>
          <w:lang w:val="sr-Cyrl-RS"/>
        </w:rPr>
        <w:t>и берзанских цена сировина</w:t>
      </w:r>
      <w:r w:rsidR="0036013B">
        <w:rPr>
          <w:rFonts w:ascii="Times New Roman" w:hAnsi="Times New Roman" w:cs="Times New Roman"/>
        </w:rPr>
        <w:t xml:space="preserve"> </w:t>
      </w:r>
      <w:r w:rsidR="0085608A">
        <w:rPr>
          <w:rFonts w:ascii="Times New Roman" w:hAnsi="Times New Roman" w:cs="Times New Roman"/>
        </w:rPr>
        <w:t xml:space="preserve">на приносе </w:t>
      </w:r>
      <w:r w:rsidR="00856C0A">
        <w:rPr>
          <w:rFonts w:ascii="Times New Roman" w:hAnsi="Times New Roman" w:cs="Times New Roman"/>
        </w:rPr>
        <w:t xml:space="preserve">акција компаније Caterpillar. </w:t>
      </w:r>
      <w:r w:rsidR="0085608A">
        <w:rPr>
          <w:rFonts w:ascii="Times New Roman" w:hAnsi="Times New Roman" w:cs="Times New Roman"/>
        </w:rPr>
        <w:t xml:space="preserve">Циљ истраживања јесте </w:t>
      </w:r>
      <w:r w:rsidR="00570509">
        <w:rPr>
          <w:rFonts w:ascii="Times New Roman" w:hAnsi="Times New Roman" w:cs="Times New Roman"/>
          <w:lang w:val="sr-Cyrl-RS"/>
        </w:rPr>
        <w:t>утвриђивање</w:t>
      </w:r>
      <w:r w:rsidR="0085608A">
        <w:rPr>
          <w:rFonts w:ascii="Times New Roman" w:hAnsi="Times New Roman" w:cs="Times New Roman"/>
        </w:rPr>
        <w:t xml:space="preserve"> </w:t>
      </w:r>
      <w:r w:rsidR="00570509">
        <w:rPr>
          <w:rFonts w:ascii="Times New Roman" w:hAnsi="Times New Roman" w:cs="Times New Roman"/>
          <w:lang w:val="sr-Cyrl-RS"/>
        </w:rPr>
        <w:t xml:space="preserve">доприноса системских берзанских индекса и берзанских цена сировина квалитету предвиђања приноса </w:t>
      </w:r>
      <w:r w:rsidR="00570509">
        <w:rPr>
          <w:rFonts w:ascii="Times New Roman" w:hAnsi="Times New Roman" w:cs="Times New Roman"/>
        </w:rPr>
        <w:t>CAT</w:t>
      </w:r>
      <w:r w:rsidR="00570509">
        <w:rPr>
          <w:rFonts w:ascii="Times New Roman" w:hAnsi="Times New Roman" w:cs="Times New Roman"/>
          <w:lang w:val="sr-Latn-RS"/>
        </w:rPr>
        <w:t>-</w:t>
      </w:r>
      <w:r w:rsidR="00570509">
        <w:rPr>
          <w:rFonts w:ascii="Times New Roman" w:hAnsi="Times New Roman" w:cs="Times New Roman"/>
          <w:lang w:val="sr-Cyrl-RS"/>
        </w:rPr>
        <w:t xml:space="preserve">ових акција уз помоћ </w:t>
      </w:r>
      <w:r w:rsidR="00B63476">
        <w:rPr>
          <w:rFonts w:ascii="Times New Roman" w:hAnsi="Times New Roman" w:cs="Times New Roman"/>
          <w:lang w:val="sr-Cyrl-RS"/>
        </w:rPr>
        <w:t xml:space="preserve">статистичког метода </w:t>
      </w:r>
      <w:r w:rsidR="00570509">
        <w:rPr>
          <w:rFonts w:ascii="Times New Roman" w:hAnsi="Times New Roman" w:cs="Times New Roman"/>
          <w:lang w:val="sr-Cyrl-RS"/>
        </w:rPr>
        <w:t xml:space="preserve">линеарне регресије. </w:t>
      </w:r>
      <w:r w:rsidR="00856C0A">
        <w:rPr>
          <w:rFonts w:ascii="Times New Roman" w:hAnsi="Times New Roman" w:cs="Times New Roman"/>
        </w:rPr>
        <w:t>Да бисмо постигли овај циљ, прво ћемо пронаћи потенцијалне детерминанте и факторе који могу утицати на приносе CAT-ових акција. То могу бити</w:t>
      </w:r>
      <w:r w:rsidR="003E6CF5">
        <w:rPr>
          <w:rFonts w:ascii="Times New Roman" w:hAnsi="Times New Roman" w:cs="Times New Roman"/>
        </w:rPr>
        <w:t xml:space="preserve"> одабрани берзански индекси</w:t>
      </w:r>
      <w:r w:rsidR="00856C0A">
        <w:rPr>
          <w:rFonts w:ascii="Times New Roman" w:hAnsi="Times New Roman" w:cs="Times New Roman"/>
        </w:rPr>
        <w:t>, али и специфични фактори индустрије у којој Caterpillar послује</w:t>
      </w:r>
      <w:r w:rsidR="00A41E04">
        <w:rPr>
          <w:rFonts w:ascii="Times New Roman" w:hAnsi="Times New Roman" w:cs="Times New Roman"/>
        </w:rPr>
        <w:t>.</w:t>
      </w:r>
      <w:r w:rsidR="00A41E04" w:rsidRPr="00A41E04">
        <w:t xml:space="preserve"> </w:t>
      </w:r>
      <w:r w:rsidR="00A41E04" w:rsidRPr="00A41E04">
        <w:rPr>
          <w:rFonts w:ascii="Times New Roman" w:hAnsi="Times New Roman" w:cs="Times New Roman"/>
        </w:rPr>
        <w:t>Ови фактори могу укључивати цене енергије, трошкове рада, као и понуду и потражњу за одређеним сировинама.</w:t>
      </w:r>
      <w:r w:rsidR="003E6CF5">
        <w:rPr>
          <w:rFonts w:ascii="Times New Roman" w:hAnsi="Times New Roman" w:cs="Times New Roman"/>
        </w:rPr>
        <w:t xml:space="preserve"> што </w:t>
      </w:r>
      <w:r w:rsidR="00A41E04">
        <w:rPr>
          <w:rFonts w:ascii="Times New Roman" w:hAnsi="Times New Roman" w:cs="Times New Roman"/>
        </w:rPr>
        <w:t>се одржава</w:t>
      </w:r>
      <w:r w:rsidR="003E6CF5">
        <w:rPr>
          <w:rFonts w:ascii="Times New Roman" w:hAnsi="Times New Roman" w:cs="Times New Roman"/>
        </w:rPr>
        <w:t xml:space="preserve"> </w:t>
      </w:r>
      <w:r w:rsidR="00A41E04">
        <w:rPr>
          <w:rFonts w:ascii="Times New Roman" w:hAnsi="Times New Roman" w:cs="Times New Roman"/>
        </w:rPr>
        <w:t xml:space="preserve">преко </w:t>
      </w:r>
      <w:r w:rsidR="003E6CF5">
        <w:rPr>
          <w:rFonts w:ascii="Times New Roman" w:hAnsi="Times New Roman" w:cs="Times New Roman"/>
        </w:rPr>
        <w:t>берзанск</w:t>
      </w:r>
      <w:r w:rsidR="00A41E04">
        <w:rPr>
          <w:rFonts w:ascii="Times New Roman" w:hAnsi="Times New Roman" w:cs="Times New Roman"/>
        </w:rPr>
        <w:t>их</w:t>
      </w:r>
      <w:r w:rsidR="003E6CF5">
        <w:rPr>
          <w:rFonts w:ascii="Times New Roman" w:hAnsi="Times New Roman" w:cs="Times New Roman"/>
        </w:rPr>
        <w:t xml:space="preserve"> цен</w:t>
      </w:r>
      <w:r w:rsidR="00A41E04">
        <w:rPr>
          <w:rFonts w:ascii="Times New Roman" w:hAnsi="Times New Roman" w:cs="Times New Roman"/>
        </w:rPr>
        <w:t>а</w:t>
      </w:r>
      <w:r w:rsidR="003E6CF5">
        <w:rPr>
          <w:rFonts w:ascii="Times New Roman" w:hAnsi="Times New Roman" w:cs="Times New Roman"/>
        </w:rPr>
        <w:t xml:space="preserve"> сировина које се непосредно користе</w:t>
      </w:r>
      <w:r w:rsidR="00856C0A">
        <w:rPr>
          <w:rFonts w:ascii="Times New Roman" w:hAnsi="Times New Roman" w:cs="Times New Roman"/>
        </w:rPr>
        <w:t xml:space="preserve">. </w:t>
      </w:r>
      <w:r w:rsidR="003874B5">
        <w:rPr>
          <w:rFonts w:ascii="Times New Roman" w:hAnsi="Times New Roman" w:cs="Times New Roman"/>
        </w:rPr>
        <w:t>Пажљивом а</w:t>
      </w:r>
      <w:r w:rsidR="00856C0A">
        <w:rPr>
          <w:rFonts w:ascii="Times New Roman" w:hAnsi="Times New Roman" w:cs="Times New Roman"/>
        </w:rPr>
        <w:t>нализом тих фактора се може боље разумети динамика тржишта и истаћи они фактори који имају највећи утицај на перформансе компаније и њених акција. Спроведена анализа може бити од изузетног значаја за инвеститоре, менаџере, регулаторе, као и друге заинтересоване стране</w:t>
      </w:r>
      <w:r w:rsidR="003874B5">
        <w:rPr>
          <w:rFonts w:ascii="Times New Roman" w:hAnsi="Times New Roman" w:cs="Times New Roman"/>
        </w:rPr>
        <w:t>, јер се долази до корисних увида који ће допринети бољем разумевању фактора који обликују перформансе компаније на тржишту</w:t>
      </w:r>
      <w:r w:rsidR="00856C0A">
        <w:rPr>
          <w:rFonts w:ascii="Times New Roman" w:hAnsi="Times New Roman" w:cs="Times New Roman"/>
        </w:rPr>
        <w:t>.</w:t>
      </w:r>
    </w:p>
    <w:p w14:paraId="2ADBFE1C" w14:textId="236F5679" w:rsidR="00B23F95" w:rsidRPr="00352A8F" w:rsidRDefault="00B23F95" w:rsidP="00B23F95">
      <w:pPr>
        <w:jc w:val="both"/>
        <w:rPr>
          <w:rFonts w:ascii="Times New Roman" w:hAnsi="Times New Roman" w:cs="Times New Roman"/>
        </w:rPr>
      </w:pPr>
      <w:r w:rsidRPr="00352A8F">
        <w:rPr>
          <w:rFonts w:ascii="Times New Roman" w:hAnsi="Times New Roman" w:cs="Times New Roman"/>
        </w:rPr>
        <w:t xml:space="preserve">На основу </w:t>
      </w:r>
      <w:r>
        <w:rPr>
          <w:rFonts w:ascii="Times New Roman" w:hAnsi="Times New Roman" w:cs="Times New Roman"/>
        </w:rPr>
        <w:t>изнетог предмета и циља истраживања</w:t>
      </w:r>
      <w:r w:rsidRPr="00352A8F">
        <w:rPr>
          <w:rFonts w:ascii="Times New Roman" w:hAnsi="Times New Roman" w:cs="Times New Roman"/>
        </w:rPr>
        <w:t>, могу се извести две опште хипотезе:</w:t>
      </w:r>
    </w:p>
    <w:p w14:paraId="54B046D8" w14:textId="17724105" w:rsidR="00B23F95" w:rsidRDefault="00B23F95" w:rsidP="00B23F95">
      <w:pPr>
        <w:jc w:val="both"/>
        <w:rPr>
          <w:rFonts w:ascii="Times New Roman" w:hAnsi="Times New Roman" w:cs="Times New Roman"/>
        </w:rPr>
      </w:pPr>
      <w:bookmarkStart w:id="2" w:name="_Hlk162989708"/>
      <w:r w:rsidRPr="00352A8F">
        <w:rPr>
          <w:rFonts w:ascii="Times New Roman" w:hAnsi="Times New Roman" w:cs="Times New Roman"/>
        </w:rPr>
        <w:t xml:space="preserve">Х1: </w:t>
      </w:r>
      <w:bookmarkStart w:id="3" w:name="_Hlk163810815"/>
      <w:r w:rsidRPr="00352A8F">
        <w:rPr>
          <w:rFonts w:ascii="Times New Roman" w:hAnsi="Times New Roman" w:cs="Times New Roman"/>
        </w:rPr>
        <w:t xml:space="preserve">Додавањем </w:t>
      </w:r>
      <w:r w:rsidR="000D36E6">
        <w:rPr>
          <w:rFonts w:ascii="Times New Roman" w:hAnsi="Times New Roman" w:cs="Times New Roman"/>
          <w:lang w:val="sr-Cyrl-RS"/>
        </w:rPr>
        <w:t>берзанских индекса:</w:t>
      </w:r>
      <w:r w:rsidR="000D36E6">
        <w:rPr>
          <w:rFonts w:ascii="Times New Roman" w:hAnsi="Times New Roman" w:cs="Times New Roman"/>
        </w:rPr>
        <w:t xml:space="preserve"> </w:t>
      </w:r>
      <w:r w:rsidR="00DB213F" w:rsidRPr="00DB213F">
        <w:rPr>
          <w:rFonts w:ascii="Times New Roman" w:hAnsi="Times New Roman" w:cs="Times New Roman"/>
        </w:rPr>
        <w:t xml:space="preserve">VIX индекс волатилности, PKB ETF фонд, кретање приноса сирове нафте и злата </w:t>
      </w:r>
      <w:r w:rsidR="00D1351D">
        <w:rPr>
          <w:rFonts w:ascii="Times New Roman" w:hAnsi="Times New Roman" w:cs="Times New Roman"/>
        </w:rPr>
        <w:t>у бенчмарк модел</w:t>
      </w:r>
      <w:r w:rsidR="000D36E6">
        <w:rPr>
          <w:rFonts w:ascii="Times New Roman" w:hAnsi="Times New Roman" w:cs="Times New Roman"/>
          <w:lang w:val="sr-Cyrl-RS"/>
        </w:rPr>
        <w:t xml:space="preserve">, </w:t>
      </w:r>
      <w:r w:rsidR="00DB213F" w:rsidRPr="00DB213F">
        <w:rPr>
          <w:rFonts w:ascii="Times New Roman" w:hAnsi="Times New Roman" w:cs="Times New Roman"/>
        </w:rPr>
        <w:t>где је коришћен само тржишни индекс</w:t>
      </w:r>
      <w:r w:rsidR="00DB213F">
        <w:rPr>
          <w:rFonts w:ascii="Times New Roman" w:hAnsi="Times New Roman" w:cs="Times New Roman"/>
        </w:rPr>
        <w:t xml:space="preserve"> </w:t>
      </w:r>
      <w:r w:rsidR="00DB213F" w:rsidRPr="00DB213F">
        <w:rPr>
          <w:rFonts w:ascii="Times New Roman" w:hAnsi="Times New Roman" w:cs="Times New Roman"/>
        </w:rPr>
        <w:t>за објашњавање варијабилности приноса CAT акција</w:t>
      </w:r>
      <w:r w:rsidR="000D36E6">
        <w:rPr>
          <w:rFonts w:ascii="Times New Roman" w:hAnsi="Times New Roman" w:cs="Times New Roman"/>
          <w:lang w:val="sr-Cyrl-RS"/>
        </w:rPr>
        <w:t xml:space="preserve">, </w:t>
      </w:r>
      <w:r w:rsidRPr="00352A8F">
        <w:rPr>
          <w:rFonts w:ascii="Times New Roman" w:hAnsi="Times New Roman" w:cs="Times New Roman"/>
        </w:rPr>
        <w:t xml:space="preserve">доприноси се предвиђању приноса CAT акција. </w:t>
      </w:r>
    </w:p>
    <w:bookmarkEnd w:id="3"/>
    <w:p w14:paraId="15351265" w14:textId="60FE2ED6" w:rsidR="006D2E1C" w:rsidRDefault="006D2E1C" w:rsidP="00B23F95">
      <w:pPr>
        <w:jc w:val="both"/>
        <w:rPr>
          <w:rFonts w:ascii="Times New Roman" w:hAnsi="Times New Roman" w:cs="Times New Roman"/>
          <w:lang w:val="sr-Cyrl-RS"/>
        </w:rPr>
      </w:pPr>
      <w:r>
        <w:rPr>
          <w:rFonts w:ascii="Times New Roman" w:hAnsi="Times New Roman" w:cs="Times New Roman"/>
          <w:lang w:val="sr-Cyrl-RS"/>
        </w:rPr>
        <w:t>Х1а:</w:t>
      </w:r>
      <w:r w:rsidRPr="006D2E1C">
        <w:t xml:space="preserve"> </w:t>
      </w:r>
      <w:r w:rsidRPr="006D2E1C">
        <w:rPr>
          <w:rFonts w:ascii="Times New Roman" w:hAnsi="Times New Roman" w:cs="Times New Roman"/>
          <w:lang w:val="sr-Cyrl-RS"/>
        </w:rPr>
        <w:t>Додавањем VIX индекс</w:t>
      </w:r>
      <w:r>
        <w:rPr>
          <w:rFonts w:ascii="Times New Roman" w:hAnsi="Times New Roman" w:cs="Times New Roman"/>
          <w:lang w:val="sr-Cyrl-RS"/>
        </w:rPr>
        <w:t>а</w:t>
      </w:r>
      <w:r w:rsidRPr="006D2E1C">
        <w:rPr>
          <w:rFonts w:ascii="Times New Roman" w:hAnsi="Times New Roman" w:cs="Times New Roman"/>
          <w:lang w:val="sr-Cyrl-RS"/>
        </w:rPr>
        <w:t xml:space="preserve"> волатилности</w:t>
      </w:r>
      <w:r>
        <w:rPr>
          <w:rFonts w:ascii="Times New Roman" w:hAnsi="Times New Roman" w:cs="Times New Roman"/>
          <w:lang w:val="sr-Cyrl-RS"/>
        </w:rPr>
        <w:t xml:space="preserve"> </w:t>
      </w:r>
      <w:r w:rsidRPr="006D2E1C">
        <w:rPr>
          <w:rFonts w:ascii="Times New Roman" w:hAnsi="Times New Roman" w:cs="Times New Roman"/>
          <w:lang w:val="sr-Cyrl-RS"/>
        </w:rPr>
        <w:t>у бенчмарк модел</w:t>
      </w:r>
      <w:r>
        <w:rPr>
          <w:rFonts w:ascii="Times New Roman" w:hAnsi="Times New Roman" w:cs="Times New Roman"/>
          <w:lang w:val="sr-Cyrl-RS"/>
        </w:rPr>
        <w:t xml:space="preserve"> </w:t>
      </w:r>
      <w:r w:rsidRPr="006D2E1C">
        <w:rPr>
          <w:rFonts w:ascii="Times New Roman" w:hAnsi="Times New Roman" w:cs="Times New Roman"/>
          <w:lang w:val="sr-Cyrl-RS"/>
        </w:rPr>
        <w:t>доприноси се предвиђању приноса CAT акција.</w:t>
      </w:r>
    </w:p>
    <w:p w14:paraId="5D25BF66" w14:textId="3BC29895" w:rsidR="006D2E1C" w:rsidRDefault="006D2E1C" w:rsidP="00B23F95">
      <w:pPr>
        <w:jc w:val="both"/>
        <w:rPr>
          <w:rFonts w:ascii="Times New Roman" w:hAnsi="Times New Roman" w:cs="Times New Roman"/>
          <w:lang w:val="sr-Cyrl-RS"/>
        </w:rPr>
      </w:pPr>
      <w:r>
        <w:rPr>
          <w:rFonts w:ascii="Times New Roman" w:hAnsi="Times New Roman" w:cs="Times New Roman"/>
          <w:lang w:val="sr-Cyrl-RS"/>
        </w:rPr>
        <w:t>Х1б:</w:t>
      </w:r>
      <w:r w:rsidRPr="006D2E1C">
        <w:t xml:space="preserve"> </w:t>
      </w:r>
      <w:r w:rsidRPr="006D2E1C">
        <w:rPr>
          <w:rFonts w:ascii="Times New Roman" w:hAnsi="Times New Roman" w:cs="Times New Roman"/>
          <w:lang w:val="sr-Cyrl-RS"/>
        </w:rPr>
        <w:t xml:space="preserve">Додавањем </w:t>
      </w:r>
      <w:r>
        <w:rPr>
          <w:rFonts w:ascii="Times New Roman" w:hAnsi="Times New Roman" w:cs="Times New Roman"/>
          <w:lang w:val="sr-Cyrl-RS"/>
        </w:rPr>
        <w:t>индекса</w:t>
      </w:r>
      <w:r w:rsidRPr="006D2E1C">
        <w:rPr>
          <w:rFonts w:ascii="Times New Roman" w:hAnsi="Times New Roman" w:cs="Times New Roman"/>
          <w:lang w:val="sr-Cyrl-RS"/>
        </w:rPr>
        <w:t xml:space="preserve"> PKB ETF фонд</w:t>
      </w:r>
      <w:r>
        <w:rPr>
          <w:rFonts w:ascii="Times New Roman" w:hAnsi="Times New Roman" w:cs="Times New Roman"/>
          <w:lang w:val="sr-Cyrl-RS"/>
        </w:rPr>
        <w:t>а</w:t>
      </w:r>
      <w:r w:rsidRPr="006D2E1C">
        <w:rPr>
          <w:rFonts w:ascii="Times New Roman" w:hAnsi="Times New Roman" w:cs="Times New Roman"/>
          <w:lang w:val="sr-Cyrl-RS"/>
        </w:rPr>
        <w:t xml:space="preserve"> у бенчмарк модел</w:t>
      </w:r>
      <w:r>
        <w:rPr>
          <w:rFonts w:ascii="Times New Roman" w:hAnsi="Times New Roman" w:cs="Times New Roman"/>
          <w:lang w:val="sr-Cyrl-RS"/>
        </w:rPr>
        <w:t xml:space="preserve"> </w:t>
      </w:r>
      <w:r w:rsidRPr="006D2E1C">
        <w:rPr>
          <w:rFonts w:ascii="Times New Roman" w:hAnsi="Times New Roman" w:cs="Times New Roman"/>
          <w:lang w:val="sr-Cyrl-RS"/>
        </w:rPr>
        <w:t>доприноси се предвиђању приноса CAT акција.</w:t>
      </w:r>
    </w:p>
    <w:p w14:paraId="2021C012" w14:textId="2C3EC0A9" w:rsidR="006D2E1C" w:rsidRDefault="006D2E1C" w:rsidP="00B23F95">
      <w:pPr>
        <w:jc w:val="both"/>
        <w:rPr>
          <w:rFonts w:ascii="Times New Roman" w:hAnsi="Times New Roman" w:cs="Times New Roman"/>
          <w:lang w:val="sr-Cyrl-RS"/>
        </w:rPr>
      </w:pPr>
      <w:bookmarkStart w:id="4" w:name="_Hlk163810926"/>
      <w:r>
        <w:rPr>
          <w:rFonts w:ascii="Times New Roman" w:hAnsi="Times New Roman" w:cs="Times New Roman"/>
          <w:lang w:val="sr-Cyrl-RS"/>
        </w:rPr>
        <w:t>Х1</w:t>
      </w:r>
      <w:r w:rsidR="008B0990">
        <w:rPr>
          <w:rFonts w:ascii="Times New Roman" w:hAnsi="Times New Roman" w:cs="Times New Roman"/>
          <w:lang w:val="sr-Cyrl-RS"/>
        </w:rPr>
        <w:t>в</w:t>
      </w:r>
      <w:r>
        <w:rPr>
          <w:rFonts w:ascii="Times New Roman" w:hAnsi="Times New Roman" w:cs="Times New Roman"/>
          <w:lang w:val="sr-Cyrl-RS"/>
        </w:rPr>
        <w:t>:</w:t>
      </w:r>
      <w:r w:rsidRPr="006D2E1C">
        <w:t xml:space="preserve"> </w:t>
      </w:r>
      <w:r w:rsidRPr="006D2E1C">
        <w:rPr>
          <w:rFonts w:ascii="Times New Roman" w:hAnsi="Times New Roman" w:cs="Times New Roman"/>
          <w:lang w:val="sr-Cyrl-RS"/>
        </w:rPr>
        <w:t>Додавањем</w:t>
      </w:r>
      <w:r>
        <w:rPr>
          <w:rFonts w:ascii="Times New Roman" w:hAnsi="Times New Roman" w:cs="Times New Roman"/>
          <w:lang w:val="sr-Cyrl-RS"/>
        </w:rPr>
        <w:t xml:space="preserve"> </w:t>
      </w:r>
      <w:r w:rsidRPr="006D2E1C">
        <w:rPr>
          <w:rFonts w:ascii="Times New Roman" w:hAnsi="Times New Roman" w:cs="Times New Roman"/>
          <w:lang w:val="sr-Cyrl-RS"/>
        </w:rPr>
        <w:t>кретањ</w:t>
      </w:r>
      <w:r>
        <w:rPr>
          <w:rFonts w:ascii="Times New Roman" w:hAnsi="Times New Roman" w:cs="Times New Roman"/>
          <w:lang w:val="sr-Cyrl-RS"/>
        </w:rPr>
        <w:t>а</w:t>
      </w:r>
      <w:r w:rsidRPr="006D2E1C">
        <w:rPr>
          <w:rFonts w:ascii="Times New Roman" w:hAnsi="Times New Roman" w:cs="Times New Roman"/>
          <w:lang w:val="sr-Cyrl-RS"/>
        </w:rPr>
        <w:t xml:space="preserve"> приноса сирове нафте</w:t>
      </w:r>
      <w:r>
        <w:rPr>
          <w:rFonts w:ascii="Times New Roman" w:hAnsi="Times New Roman" w:cs="Times New Roman"/>
          <w:lang w:val="sr-Cyrl-RS"/>
        </w:rPr>
        <w:t xml:space="preserve"> </w:t>
      </w:r>
      <w:r w:rsidRPr="006D2E1C">
        <w:rPr>
          <w:rFonts w:ascii="Times New Roman" w:hAnsi="Times New Roman" w:cs="Times New Roman"/>
          <w:lang w:val="sr-Cyrl-RS"/>
        </w:rPr>
        <w:t>у бенчмарк модел</w:t>
      </w:r>
      <w:r>
        <w:rPr>
          <w:rFonts w:ascii="Times New Roman" w:hAnsi="Times New Roman" w:cs="Times New Roman"/>
          <w:lang w:val="sr-Cyrl-RS"/>
        </w:rPr>
        <w:t xml:space="preserve"> </w:t>
      </w:r>
      <w:r w:rsidRPr="006D2E1C">
        <w:rPr>
          <w:rFonts w:ascii="Times New Roman" w:hAnsi="Times New Roman" w:cs="Times New Roman"/>
          <w:lang w:val="sr-Cyrl-RS"/>
        </w:rPr>
        <w:t>доприноси се предвиђању приноса CAT акција.</w:t>
      </w:r>
    </w:p>
    <w:bookmarkEnd w:id="4"/>
    <w:p w14:paraId="36A27340" w14:textId="6E8263B3" w:rsidR="006D2E1C" w:rsidRPr="006D2E1C" w:rsidRDefault="006D2E1C" w:rsidP="00B23F95">
      <w:pPr>
        <w:jc w:val="both"/>
        <w:rPr>
          <w:rFonts w:ascii="Times New Roman" w:hAnsi="Times New Roman" w:cs="Times New Roman"/>
          <w:lang w:val="sr-Cyrl-RS"/>
        </w:rPr>
      </w:pPr>
      <w:r w:rsidRPr="006D2E1C">
        <w:rPr>
          <w:rFonts w:ascii="Times New Roman" w:hAnsi="Times New Roman" w:cs="Times New Roman"/>
          <w:lang w:val="sr-Cyrl-RS"/>
        </w:rPr>
        <w:t>Х1</w:t>
      </w:r>
      <w:r w:rsidR="008B0990">
        <w:rPr>
          <w:rFonts w:ascii="Times New Roman" w:hAnsi="Times New Roman" w:cs="Times New Roman"/>
          <w:lang w:val="sr-Cyrl-RS"/>
        </w:rPr>
        <w:t>г</w:t>
      </w:r>
      <w:r w:rsidRPr="006D2E1C">
        <w:rPr>
          <w:rFonts w:ascii="Times New Roman" w:hAnsi="Times New Roman" w:cs="Times New Roman"/>
          <w:lang w:val="sr-Cyrl-RS"/>
        </w:rPr>
        <w:t xml:space="preserve">: Додавањем кретања приноса </w:t>
      </w:r>
      <w:r>
        <w:rPr>
          <w:rFonts w:ascii="Times New Roman" w:hAnsi="Times New Roman" w:cs="Times New Roman"/>
          <w:lang w:val="sr-Cyrl-RS"/>
        </w:rPr>
        <w:t>злата</w:t>
      </w:r>
      <w:r w:rsidRPr="006D2E1C">
        <w:rPr>
          <w:rFonts w:ascii="Times New Roman" w:hAnsi="Times New Roman" w:cs="Times New Roman"/>
          <w:lang w:val="sr-Cyrl-RS"/>
        </w:rPr>
        <w:t xml:space="preserve"> у бенчмарк модел доприноси се предвиђању приноса CAT акција.</w:t>
      </w:r>
    </w:p>
    <w:p w14:paraId="7ECDE6FD" w14:textId="67FDEF63" w:rsidR="00CF4725" w:rsidRDefault="00B23F95" w:rsidP="00B23F95">
      <w:pPr>
        <w:jc w:val="both"/>
        <w:rPr>
          <w:rFonts w:ascii="Times New Roman" w:hAnsi="Times New Roman" w:cs="Times New Roman"/>
        </w:rPr>
      </w:pPr>
      <w:r w:rsidRPr="00352A8F">
        <w:rPr>
          <w:rFonts w:ascii="Times New Roman" w:hAnsi="Times New Roman" w:cs="Times New Roman"/>
        </w:rPr>
        <w:lastRenderedPageBreak/>
        <w:t xml:space="preserve">Х2: Кретање приноса </w:t>
      </w:r>
      <w:r w:rsidR="00DB213F">
        <w:rPr>
          <w:rFonts w:ascii="Times New Roman" w:hAnsi="Times New Roman" w:cs="Times New Roman"/>
        </w:rPr>
        <w:t>следећих шест сировина: б</w:t>
      </w:r>
      <w:r w:rsidR="008854A1" w:rsidRPr="008854A1">
        <w:rPr>
          <w:rFonts w:ascii="Times New Roman" w:hAnsi="Times New Roman" w:cs="Times New Roman"/>
        </w:rPr>
        <w:t>акра</w:t>
      </w:r>
      <w:r w:rsidR="00757FEF">
        <w:rPr>
          <w:rFonts w:ascii="Times New Roman" w:hAnsi="Times New Roman" w:cs="Times New Roman"/>
          <w:lang w:val="sr-Cyrl-RS"/>
        </w:rPr>
        <w:t>,</w:t>
      </w:r>
      <w:r w:rsidR="008854A1" w:rsidRPr="008854A1">
        <w:rPr>
          <w:rFonts w:ascii="Times New Roman" w:hAnsi="Times New Roman" w:cs="Times New Roman"/>
        </w:rPr>
        <w:t xml:space="preserve"> челика</w:t>
      </w:r>
      <w:r w:rsidR="00757FEF">
        <w:rPr>
          <w:rFonts w:ascii="Times New Roman" w:hAnsi="Times New Roman" w:cs="Times New Roman"/>
          <w:lang w:val="sr-Cyrl-RS"/>
        </w:rPr>
        <w:t xml:space="preserve">, </w:t>
      </w:r>
      <w:r w:rsidR="008854A1" w:rsidRPr="008854A1">
        <w:rPr>
          <w:rFonts w:ascii="Times New Roman" w:hAnsi="Times New Roman" w:cs="Times New Roman"/>
        </w:rPr>
        <w:t>гума, алуминијума, електричне енергије</w:t>
      </w:r>
      <w:r w:rsidR="00757FEF">
        <w:rPr>
          <w:rFonts w:ascii="Times New Roman" w:hAnsi="Times New Roman" w:cs="Times New Roman"/>
          <w:lang w:val="sr-Cyrl-RS"/>
        </w:rPr>
        <w:t xml:space="preserve">, </w:t>
      </w:r>
      <w:r w:rsidR="008854A1" w:rsidRPr="008854A1">
        <w:rPr>
          <w:rFonts w:ascii="Times New Roman" w:hAnsi="Times New Roman" w:cs="Times New Roman"/>
        </w:rPr>
        <w:t xml:space="preserve">као и алата, грађевинских производа </w:t>
      </w:r>
      <w:r w:rsidRPr="00352A8F">
        <w:rPr>
          <w:rFonts w:ascii="Times New Roman" w:hAnsi="Times New Roman" w:cs="Times New Roman"/>
        </w:rPr>
        <w:t>има статистички значајан утицај на кретање приноса CAT акција</w:t>
      </w:r>
      <w:bookmarkEnd w:id="2"/>
      <w:r w:rsidRPr="00352A8F">
        <w:rPr>
          <w:rFonts w:ascii="Times New Roman" w:hAnsi="Times New Roman" w:cs="Times New Roman"/>
        </w:rPr>
        <w:t xml:space="preserve">. </w:t>
      </w:r>
    </w:p>
    <w:p w14:paraId="362FAFB5" w14:textId="0210C079" w:rsidR="008B0990" w:rsidRPr="00CF4725" w:rsidRDefault="008B0990" w:rsidP="008B0990">
      <w:pPr>
        <w:jc w:val="both"/>
        <w:rPr>
          <w:rFonts w:ascii="Times New Roman" w:hAnsi="Times New Roman" w:cs="Times New Roman"/>
        </w:rPr>
      </w:pPr>
      <w:r w:rsidRPr="00352A8F">
        <w:rPr>
          <w:rFonts w:ascii="Times New Roman" w:hAnsi="Times New Roman" w:cs="Times New Roman"/>
        </w:rPr>
        <w:t>Х2</w:t>
      </w:r>
      <w:r>
        <w:rPr>
          <w:rFonts w:ascii="Times New Roman" w:hAnsi="Times New Roman" w:cs="Times New Roman"/>
          <w:lang w:val="sr-Cyrl-RS"/>
        </w:rPr>
        <w:t>а</w:t>
      </w:r>
      <w:r w:rsidRPr="00352A8F">
        <w:rPr>
          <w:rFonts w:ascii="Times New Roman" w:hAnsi="Times New Roman" w:cs="Times New Roman"/>
        </w:rPr>
        <w:t xml:space="preserve">: Кретање приноса </w:t>
      </w:r>
      <w:r>
        <w:rPr>
          <w:rFonts w:ascii="Times New Roman" w:hAnsi="Times New Roman" w:cs="Times New Roman"/>
        </w:rPr>
        <w:t>б</w:t>
      </w:r>
      <w:r w:rsidRPr="008854A1">
        <w:rPr>
          <w:rFonts w:ascii="Times New Roman" w:hAnsi="Times New Roman" w:cs="Times New Roman"/>
        </w:rPr>
        <w:t>акра</w:t>
      </w:r>
      <w:r>
        <w:rPr>
          <w:rFonts w:ascii="Times New Roman" w:hAnsi="Times New Roman" w:cs="Times New Roman"/>
          <w:lang w:val="sr-Cyrl-RS"/>
        </w:rPr>
        <w:t xml:space="preserve"> </w:t>
      </w:r>
      <w:r w:rsidRPr="00352A8F">
        <w:rPr>
          <w:rFonts w:ascii="Times New Roman" w:hAnsi="Times New Roman" w:cs="Times New Roman"/>
        </w:rPr>
        <w:t xml:space="preserve">има статистички значајан утицај на кретање приноса CAT акција. </w:t>
      </w:r>
    </w:p>
    <w:p w14:paraId="60B15DBF" w14:textId="12CDD84E" w:rsidR="008B0990" w:rsidRPr="00CF4725" w:rsidRDefault="008B0990" w:rsidP="008B0990">
      <w:pPr>
        <w:jc w:val="both"/>
        <w:rPr>
          <w:rFonts w:ascii="Times New Roman" w:hAnsi="Times New Roman" w:cs="Times New Roman"/>
        </w:rPr>
      </w:pPr>
      <w:r w:rsidRPr="00352A8F">
        <w:rPr>
          <w:rFonts w:ascii="Times New Roman" w:hAnsi="Times New Roman" w:cs="Times New Roman"/>
        </w:rPr>
        <w:t>Х2</w:t>
      </w:r>
      <w:r>
        <w:rPr>
          <w:rFonts w:ascii="Times New Roman" w:hAnsi="Times New Roman" w:cs="Times New Roman"/>
          <w:lang w:val="sr-Cyrl-RS"/>
        </w:rPr>
        <w:t>б</w:t>
      </w:r>
      <w:r w:rsidRPr="00352A8F">
        <w:rPr>
          <w:rFonts w:ascii="Times New Roman" w:hAnsi="Times New Roman" w:cs="Times New Roman"/>
        </w:rPr>
        <w:t>: Кретање приноса</w:t>
      </w:r>
      <w:r>
        <w:rPr>
          <w:rFonts w:ascii="Times New Roman" w:hAnsi="Times New Roman" w:cs="Times New Roman"/>
          <w:lang w:val="sr-Cyrl-RS"/>
        </w:rPr>
        <w:t xml:space="preserve"> </w:t>
      </w:r>
      <w:r w:rsidRPr="008854A1">
        <w:rPr>
          <w:rFonts w:ascii="Times New Roman" w:hAnsi="Times New Roman" w:cs="Times New Roman"/>
        </w:rPr>
        <w:t>челика</w:t>
      </w:r>
      <w:r>
        <w:rPr>
          <w:rFonts w:ascii="Times New Roman" w:hAnsi="Times New Roman" w:cs="Times New Roman"/>
          <w:lang w:val="sr-Cyrl-RS"/>
        </w:rPr>
        <w:t xml:space="preserve"> и</w:t>
      </w:r>
      <w:r w:rsidRPr="00352A8F">
        <w:rPr>
          <w:rFonts w:ascii="Times New Roman" w:hAnsi="Times New Roman" w:cs="Times New Roman"/>
        </w:rPr>
        <w:t xml:space="preserve">ма статистички значајан утицај на кретање приноса CAT акција. </w:t>
      </w:r>
    </w:p>
    <w:p w14:paraId="1F42B8E2" w14:textId="41AA40FB" w:rsidR="008B0990" w:rsidRPr="00CF4725" w:rsidRDefault="008B0990" w:rsidP="008B0990">
      <w:pPr>
        <w:jc w:val="both"/>
        <w:rPr>
          <w:rFonts w:ascii="Times New Roman" w:hAnsi="Times New Roman" w:cs="Times New Roman"/>
        </w:rPr>
      </w:pPr>
      <w:r w:rsidRPr="00352A8F">
        <w:rPr>
          <w:rFonts w:ascii="Times New Roman" w:hAnsi="Times New Roman" w:cs="Times New Roman"/>
        </w:rPr>
        <w:t>Х2</w:t>
      </w:r>
      <w:r>
        <w:rPr>
          <w:rFonts w:ascii="Times New Roman" w:hAnsi="Times New Roman" w:cs="Times New Roman"/>
          <w:lang w:val="sr-Cyrl-RS"/>
        </w:rPr>
        <w:t>в</w:t>
      </w:r>
      <w:r w:rsidRPr="00352A8F">
        <w:rPr>
          <w:rFonts w:ascii="Times New Roman" w:hAnsi="Times New Roman" w:cs="Times New Roman"/>
        </w:rPr>
        <w:t>: Кретање приноса</w:t>
      </w:r>
      <w:r>
        <w:rPr>
          <w:rFonts w:ascii="Times New Roman" w:hAnsi="Times New Roman" w:cs="Times New Roman"/>
          <w:lang w:val="sr-Cyrl-RS"/>
        </w:rPr>
        <w:t xml:space="preserve"> </w:t>
      </w:r>
      <w:r w:rsidRPr="008854A1">
        <w:rPr>
          <w:rFonts w:ascii="Times New Roman" w:hAnsi="Times New Roman" w:cs="Times New Roman"/>
        </w:rPr>
        <w:t>гума</w:t>
      </w:r>
      <w:r>
        <w:rPr>
          <w:rFonts w:ascii="Times New Roman" w:hAnsi="Times New Roman" w:cs="Times New Roman"/>
          <w:lang w:val="sr-Cyrl-RS"/>
        </w:rPr>
        <w:t xml:space="preserve"> </w:t>
      </w:r>
      <w:r w:rsidRPr="00352A8F">
        <w:rPr>
          <w:rFonts w:ascii="Times New Roman" w:hAnsi="Times New Roman" w:cs="Times New Roman"/>
        </w:rPr>
        <w:t xml:space="preserve">има статистички значајан утицај на кретање приноса CAT акција. </w:t>
      </w:r>
    </w:p>
    <w:p w14:paraId="05F32F15" w14:textId="3B8BB18E" w:rsidR="008B0990" w:rsidRPr="00CF4725" w:rsidRDefault="008B0990" w:rsidP="008B0990">
      <w:pPr>
        <w:jc w:val="both"/>
        <w:rPr>
          <w:rFonts w:ascii="Times New Roman" w:hAnsi="Times New Roman" w:cs="Times New Roman"/>
        </w:rPr>
      </w:pPr>
      <w:r w:rsidRPr="00352A8F">
        <w:rPr>
          <w:rFonts w:ascii="Times New Roman" w:hAnsi="Times New Roman" w:cs="Times New Roman"/>
        </w:rPr>
        <w:t>Х2</w:t>
      </w:r>
      <w:r>
        <w:rPr>
          <w:rFonts w:ascii="Times New Roman" w:hAnsi="Times New Roman" w:cs="Times New Roman"/>
          <w:lang w:val="sr-Cyrl-RS"/>
        </w:rPr>
        <w:t>г</w:t>
      </w:r>
      <w:r w:rsidRPr="00352A8F">
        <w:rPr>
          <w:rFonts w:ascii="Times New Roman" w:hAnsi="Times New Roman" w:cs="Times New Roman"/>
        </w:rPr>
        <w:t xml:space="preserve">: Кретање приноса </w:t>
      </w:r>
      <w:r w:rsidRPr="008854A1">
        <w:rPr>
          <w:rFonts w:ascii="Times New Roman" w:hAnsi="Times New Roman" w:cs="Times New Roman"/>
        </w:rPr>
        <w:t>алуминијума</w:t>
      </w:r>
      <w:r>
        <w:rPr>
          <w:rFonts w:ascii="Times New Roman" w:hAnsi="Times New Roman" w:cs="Times New Roman"/>
          <w:lang w:val="sr-Cyrl-RS"/>
        </w:rPr>
        <w:t xml:space="preserve"> </w:t>
      </w:r>
      <w:r w:rsidRPr="00352A8F">
        <w:rPr>
          <w:rFonts w:ascii="Times New Roman" w:hAnsi="Times New Roman" w:cs="Times New Roman"/>
        </w:rPr>
        <w:t xml:space="preserve">има статистички значајан утицај на кретање приноса CAT акција. </w:t>
      </w:r>
    </w:p>
    <w:p w14:paraId="13D58B46" w14:textId="59ADE91C" w:rsidR="00CF4725" w:rsidRDefault="008B0990" w:rsidP="00B23F95">
      <w:pPr>
        <w:jc w:val="both"/>
        <w:rPr>
          <w:rFonts w:ascii="Times New Roman" w:hAnsi="Times New Roman" w:cs="Times New Roman"/>
        </w:rPr>
      </w:pPr>
      <w:r w:rsidRPr="008B0990">
        <w:rPr>
          <w:rFonts w:ascii="Times New Roman" w:hAnsi="Times New Roman" w:cs="Times New Roman"/>
        </w:rPr>
        <w:t>Х2</w:t>
      </w:r>
      <w:r>
        <w:rPr>
          <w:rFonts w:ascii="Times New Roman" w:hAnsi="Times New Roman" w:cs="Times New Roman"/>
          <w:lang w:val="sr-Cyrl-RS"/>
        </w:rPr>
        <w:t>д</w:t>
      </w:r>
      <w:r w:rsidRPr="008B0990">
        <w:rPr>
          <w:rFonts w:ascii="Times New Roman" w:hAnsi="Times New Roman" w:cs="Times New Roman"/>
        </w:rPr>
        <w:t>: Кретање приноса</w:t>
      </w:r>
      <w:r>
        <w:rPr>
          <w:rFonts w:ascii="Times New Roman" w:hAnsi="Times New Roman" w:cs="Times New Roman"/>
          <w:lang w:val="sr-Cyrl-RS"/>
        </w:rPr>
        <w:t xml:space="preserve"> </w:t>
      </w:r>
      <w:r w:rsidRPr="008B0990">
        <w:rPr>
          <w:rFonts w:ascii="Times New Roman" w:hAnsi="Times New Roman" w:cs="Times New Roman"/>
        </w:rPr>
        <w:t>електричне енергије</w:t>
      </w:r>
      <w:r>
        <w:rPr>
          <w:rFonts w:ascii="Times New Roman" w:hAnsi="Times New Roman" w:cs="Times New Roman"/>
          <w:lang w:val="sr-Cyrl-RS"/>
        </w:rPr>
        <w:t xml:space="preserve"> </w:t>
      </w:r>
      <w:r w:rsidRPr="008B0990">
        <w:rPr>
          <w:rFonts w:ascii="Times New Roman" w:hAnsi="Times New Roman" w:cs="Times New Roman"/>
        </w:rPr>
        <w:t>има статистички значајан утицај на кретање приноса CAT акција.</w:t>
      </w:r>
    </w:p>
    <w:p w14:paraId="731A755B" w14:textId="7FD4C3BD" w:rsidR="008B0990" w:rsidRPr="00CF4725" w:rsidRDefault="008B0990" w:rsidP="00B23F95">
      <w:pPr>
        <w:jc w:val="both"/>
        <w:rPr>
          <w:rFonts w:ascii="Times New Roman" w:hAnsi="Times New Roman" w:cs="Times New Roman"/>
        </w:rPr>
      </w:pPr>
      <w:r w:rsidRPr="008B0990">
        <w:rPr>
          <w:rFonts w:ascii="Times New Roman" w:hAnsi="Times New Roman" w:cs="Times New Roman"/>
        </w:rPr>
        <w:t>Х2</w:t>
      </w:r>
      <w:r>
        <w:rPr>
          <w:rFonts w:ascii="Times New Roman" w:hAnsi="Times New Roman" w:cs="Times New Roman"/>
          <w:lang w:val="sr-Cyrl-RS"/>
        </w:rPr>
        <w:t>ђ</w:t>
      </w:r>
      <w:r w:rsidRPr="008B0990">
        <w:rPr>
          <w:rFonts w:ascii="Times New Roman" w:hAnsi="Times New Roman" w:cs="Times New Roman"/>
        </w:rPr>
        <w:t>: Кретање приноса алата, грађевинских производа има статистички значајан утицај на кретање приноса CAT акција.</w:t>
      </w:r>
    </w:p>
    <w:p w14:paraId="11128686" w14:textId="72EC9B9C" w:rsidR="00B22A58" w:rsidRDefault="00B23F95" w:rsidP="00565166">
      <w:pPr>
        <w:autoSpaceDE w:val="0"/>
        <w:autoSpaceDN w:val="0"/>
        <w:adjustRightInd w:val="0"/>
        <w:spacing w:line="240" w:lineRule="auto"/>
        <w:jc w:val="both"/>
        <w:rPr>
          <w:rFonts w:ascii="Times New Roman" w:eastAsia="MinionPro-Regular" w:hAnsi="Times New Roman" w:cs="Times New Roman"/>
        </w:rPr>
      </w:pPr>
      <w:r>
        <w:rPr>
          <w:rFonts w:ascii="Times New Roman" w:hAnsi="Times New Roman" w:cs="Times New Roman"/>
        </w:rPr>
        <w:t>Хипотезе се</w:t>
      </w:r>
      <w:r w:rsidR="00DB213F">
        <w:rPr>
          <w:rFonts w:ascii="Times New Roman" w:hAnsi="Times New Roman" w:cs="Times New Roman"/>
        </w:rPr>
        <w:t>, дакле,</w:t>
      </w:r>
      <w:r>
        <w:rPr>
          <w:rFonts w:ascii="Times New Roman" w:hAnsi="Times New Roman" w:cs="Times New Roman"/>
        </w:rPr>
        <w:t xml:space="preserve"> могу разложити на подхипотезе за сваки појединачни предиктор, што омогућава детаљније испитивање утицаја сваког предиктора на циљану променљиву. Конкретно, у оквиру Х1 ће бити тестиране следеће системске варијабле: </w:t>
      </w:r>
      <w:bookmarkStart w:id="5" w:name="_Hlk162952425"/>
      <w:r>
        <w:rPr>
          <w:rFonts w:ascii="Times New Roman" w:hAnsi="Times New Roman" w:cs="Times New Roman"/>
        </w:rPr>
        <w:t>VIX индекс</w:t>
      </w:r>
      <w:r w:rsidR="006E3A40">
        <w:rPr>
          <w:rFonts w:ascii="Times New Roman" w:hAnsi="Times New Roman" w:cs="Times New Roman"/>
        </w:rPr>
        <w:t xml:space="preserve"> волатилности</w:t>
      </w:r>
      <w:r>
        <w:rPr>
          <w:rFonts w:ascii="Times New Roman" w:hAnsi="Times New Roman" w:cs="Times New Roman"/>
        </w:rPr>
        <w:t xml:space="preserve">, PKB ETF фонд, кретање приноса сирове нафте (CL=F) и злата (GLD). </w:t>
      </w:r>
      <w:bookmarkEnd w:id="5"/>
      <w:r>
        <w:rPr>
          <w:rFonts w:ascii="Times New Roman" w:hAnsi="Times New Roman" w:cs="Times New Roman"/>
        </w:rPr>
        <w:t>С друге стране, у оквиру Х2 ће се испитивати утицај кретања приноса следећих шест сировина:</w:t>
      </w:r>
      <w:r w:rsidRPr="00A27E5C">
        <w:rPr>
          <w:rFonts w:ascii="Times New Roman" w:hAnsi="Times New Roman" w:cs="Times New Roman"/>
        </w:rPr>
        <w:t xml:space="preserve"> бакра (</w:t>
      </w:r>
      <w:r w:rsidR="006E3A40">
        <w:rPr>
          <w:rFonts w:ascii="Times New Roman" w:hAnsi="Times New Roman" w:cs="Times New Roman"/>
        </w:rPr>
        <w:t xml:space="preserve">приноси акција </w:t>
      </w:r>
      <w:r w:rsidR="006E3A40" w:rsidRPr="006E3A40">
        <w:rPr>
          <w:rFonts w:ascii="Times New Roman" w:hAnsi="Times New Roman" w:cs="Times New Roman"/>
        </w:rPr>
        <w:t>SCCO – Southern Copper Corporation</w:t>
      </w:r>
      <w:r w:rsidRPr="00A27E5C">
        <w:rPr>
          <w:rFonts w:ascii="Times New Roman" w:hAnsi="Times New Roman" w:cs="Times New Roman"/>
        </w:rPr>
        <w:t>), челика (</w:t>
      </w:r>
      <w:r w:rsidR="006E3A40" w:rsidRPr="006E3A40">
        <w:rPr>
          <w:rFonts w:ascii="Times New Roman" w:hAnsi="Times New Roman" w:cs="Times New Roman"/>
        </w:rPr>
        <w:t>STLD – Steel Dynamics</w:t>
      </w:r>
      <w:r w:rsidRPr="00A27E5C">
        <w:rPr>
          <w:rFonts w:ascii="Times New Roman" w:hAnsi="Times New Roman" w:cs="Times New Roman"/>
        </w:rPr>
        <w:t>), гума (</w:t>
      </w:r>
      <w:r w:rsidR="006E3A40" w:rsidRPr="006E3A40">
        <w:rPr>
          <w:rFonts w:ascii="Times New Roman" w:hAnsi="Times New Roman" w:cs="Times New Roman"/>
        </w:rPr>
        <w:t>BRDCY – Bridgestone Corporation</w:t>
      </w:r>
      <w:r w:rsidRPr="00A27E5C">
        <w:rPr>
          <w:rFonts w:ascii="Times New Roman" w:hAnsi="Times New Roman" w:cs="Times New Roman"/>
        </w:rPr>
        <w:t>), алуминијума (</w:t>
      </w:r>
      <w:r w:rsidR="006E3A40" w:rsidRPr="006E3A40">
        <w:rPr>
          <w:rFonts w:ascii="Times New Roman" w:hAnsi="Times New Roman" w:cs="Times New Roman"/>
        </w:rPr>
        <w:t>ALL – The Allstate Corporation</w:t>
      </w:r>
      <w:r w:rsidRPr="00A27E5C">
        <w:rPr>
          <w:rFonts w:ascii="Times New Roman" w:hAnsi="Times New Roman" w:cs="Times New Roman"/>
        </w:rPr>
        <w:t>), електричне енергије (NEE</w:t>
      </w:r>
      <w:r w:rsidR="006E3A40">
        <w:rPr>
          <w:rFonts w:ascii="Times New Roman" w:hAnsi="Times New Roman" w:cs="Times New Roman"/>
        </w:rPr>
        <w:t xml:space="preserve"> – NextEra Energy</w:t>
      </w:r>
      <w:r w:rsidRPr="00A27E5C">
        <w:rPr>
          <w:rFonts w:ascii="Times New Roman" w:hAnsi="Times New Roman" w:cs="Times New Roman"/>
        </w:rPr>
        <w:t>),</w:t>
      </w:r>
      <w:r w:rsidR="0007200A">
        <w:rPr>
          <w:rFonts w:ascii="Times New Roman" w:hAnsi="Times New Roman" w:cs="Times New Roman"/>
        </w:rPr>
        <w:t xml:space="preserve"> као</w:t>
      </w:r>
      <w:r w:rsidRPr="00A27E5C">
        <w:rPr>
          <w:rFonts w:ascii="Times New Roman" w:hAnsi="Times New Roman" w:cs="Times New Roman"/>
        </w:rPr>
        <w:t xml:space="preserve"> </w:t>
      </w:r>
      <w:r>
        <w:rPr>
          <w:rFonts w:ascii="Times New Roman" w:hAnsi="Times New Roman" w:cs="Times New Roman"/>
        </w:rPr>
        <w:t>и</w:t>
      </w:r>
      <w:r w:rsidRPr="00A27E5C">
        <w:rPr>
          <w:rFonts w:ascii="Times New Roman" w:hAnsi="Times New Roman" w:cs="Times New Roman"/>
        </w:rPr>
        <w:t xml:space="preserve"> алата, грађевинских производа (приноси акција HD</w:t>
      </w:r>
      <w:r w:rsidR="006E3A40">
        <w:rPr>
          <w:rFonts w:ascii="Times New Roman" w:hAnsi="Times New Roman" w:cs="Times New Roman"/>
        </w:rPr>
        <w:t xml:space="preserve"> – The Home Depot</w:t>
      </w:r>
      <w:r w:rsidRPr="00A27E5C">
        <w:rPr>
          <w:rFonts w:ascii="Times New Roman" w:hAnsi="Times New Roman" w:cs="Times New Roman"/>
        </w:rPr>
        <w:t xml:space="preserve">). </w:t>
      </w:r>
      <w:r>
        <w:rPr>
          <w:rFonts w:ascii="Times New Roman" w:hAnsi="Times New Roman" w:cs="Times New Roman"/>
        </w:rPr>
        <w:t xml:space="preserve">Дневни подаци о кретању цена и активности на берзи акција и индекса су преузети са сајта Yahoo Finance. Анализа прикупљених и обрађених података (у виду приноса) извршена је помоћу софтвера за статистичку обраду података </w:t>
      </w:r>
      <w:r w:rsidRPr="00FD5AA2">
        <w:rPr>
          <w:rFonts w:ascii="Times New Roman" w:hAnsi="Times New Roman" w:cs="Times New Roman"/>
        </w:rPr>
        <w:t>SPSS</w:t>
      </w:r>
      <w:r w:rsidRPr="00FD5AA2">
        <w:rPr>
          <w:rFonts w:ascii="Times New Roman" w:hAnsi="Times New Roman" w:cs="Times New Roman"/>
          <w:color w:val="0D0D0D"/>
          <w:shd w:val="clear" w:color="auto" w:fill="FFFFFF"/>
        </w:rPr>
        <w:t xml:space="preserve"> (The Statistical Package for the Social Sciences). Од статистичких метода коришћен</w:t>
      </w:r>
      <w:r>
        <w:rPr>
          <w:rFonts w:ascii="Times New Roman" w:hAnsi="Times New Roman" w:cs="Times New Roman"/>
          <w:color w:val="0D0D0D"/>
          <w:shd w:val="clear" w:color="auto" w:fill="FFFFFF"/>
        </w:rPr>
        <w:t xml:space="preserve">е су корелациона </w:t>
      </w:r>
      <w:r w:rsidRPr="00FD5AA2">
        <w:rPr>
          <w:rFonts w:ascii="Times New Roman" w:hAnsi="Times New Roman" w:cs="Times New Roman"/>
          <w:color w:val="0D0D0D"/>
          <w:shd w:val="clear" w:color="auto" w:fill="FFFFFF"/>
        </w:rPr>
        <w:t>и регресиона анализа.</w:t>
      </w:r>
      <w:r w:rsidR="009B3A62">
        <w:rPr>
          <w:rFonts w:ascii="Times New Roman" w:hAnsi="Times New Roman" w:cs="Times New Roman"/>
          <w:color w:val="0D0D0D"/>
          <w:shd w:val="clear" w:color="auto" w:fill="FFFFFF"/>
        </w:rPr>
        <w:t xml:space="preserve"> </w:t>
      </w:r>
      <w:r w:rsidR="009B3A62">
        <w:rPr>
          <w:rFonts w:ascii="Times New Roman" w:eastAsia="MinionPro-Regular" w:hAnsi="Times New Roman" w:cs="Times New Roman"/>
        </w:rPr>
        <w:t xml:space="preserve">На </w:t>
      </w:r>
      <w:r w:rsidR="00B01F27" w:rsidRPr="00DD59D8">
        <w:rPr>
          <w:rFonts w:ascii="Times New Roman" w:eastAsia="MinionPro-Regular" w:hAnsi="Times New Roman" w:cs="Times New Roman"/>
        </w:rPr>
        <w:t xml:space="preserve">почетку рада су представљена досадашња теоријска и практична сазнања из области истраживања. Након тога </w:t>
      </w:r>
      <w:r w:rsidR="00DD59D8">
        <w:rPr>
          <w:rFonts w:ascii="Times New Roman" w:eastAsia="MinionPro-Regular" w:hAnsi="Times New Roman" w:cs="Times New Roman"/>
        </w:rPr>
        <w:t>је презентована</w:t>
      </w:r>
      <w:r w:rsidR="00B01F27" w:rsidRPr="00DD59D8">
        <w:rPr>
          <w:rFonts w:ascii="Times New Roman" w:eastAsia="MinionPro-Regular" w:hAnsi="Times New Roman" w:cs="Times New Roman"/>
        </w:rPr>
        <w:t xml:space="preserve"> методологиј</w:t>
      </w:r>
      <w:r w:rsidR="00DD59D8">
        <w:rPr>
          <w:rFonts w:ascii="Times New Roman" w:eastAsia="MinionPro-Regular" w:hAnsi="Times New Roman" w:cs="Times New Roman"/>
        </w:rPr>
        <w:t>а</w:t>
      </w:r>
      <w:r w:rsidR="00B01F27" w:rsidRPr="00DD59D8">
        <w:rPr>
          <w:rFonts w:ascii="Times New Roman" w:eastAsia="MinionPro-Regular" w:hAnsi="Times New Roman" w:cs="Times New Roman"/>
        </w:rPr>
        <w:t xml:space="preserve"> која је коришћена при </w:t>
      </w:r>
      <w:r w:rsidR="00CC0E65" w:rsidRPr="00DD59D8">
        <w:rPr>
          <w:rFonts w:ascii="Times New Roman" w:eastAsia="MinionPro-Regular" w:hAnsi="Times New Roman" w:cs="Times New Roman"/>
        </w:rPr>
        <w:t xml:space="preserve">самој анализи студије случаја и </w:t>
      </w:r>
      <w:r w:rsidR="00B01F27" w:rsidRPr="00DD59D8">
        <w:rPr>
          <w:rFonts w:ascii="Times New Roman" w:eastAsia="MinionPro-Regular" w:hAnsi="Times New Roman" w:cs="Times New Roman"/>
        </w:rPr>
        <w:t>изради рада</w:t>
      </w:r>
      <w:r w:rsidR="00CC0E65" w:rsidRPr="00DD59D8">
        <w:rPr>
          <w:rFonts w:ascii="Times New Roman" w:eastAsia="MinionPro-Regular" w:hAnsi="Times New Roman" w:cs="Times New Roman"/>
        </w:rPr>
        <w:t>. У трећем делу рада су приказани резултати емпиријског истраживања до којих се дошло уз помоћ</w:t>
      </w:r>
      <w:r w:rsidR="00CC0E65" w:rsidRPr="00DD59D8">
        <w:rPr>
          <w:rFonts w:ascii="Times New Roman" w:hAnsi="Times New Roman" w:cs="Times New Roman"/>
        </w:rPr>
        <w:t xml:space="preserve"> </w:t>
      </w:r>
      <w:r w:rsidR="00CC0E65" w:rsidRPr="00DD59D8">
        <w:rPr>
          <w:rFonts w:ascii="Times New Roman" w:eastAsia="MinionPro-Regular" w:hAnsi="Times New Roman" w:cs="Times New Roman"/>
        </w:rPr>
        <w:t>SPSS</w:t>
      </w:r>
      <w:r w:rsidR="002A5193">
        <w:rPr>
          <w:rFonts w:ascii="Times New Roman" w:eastAsia="MinionPro-Regular" w:hAnsi="Times New Roman" w:cs="Times New Roman"/>
          <w:lang w:val="sr-Cyrl-RS"/>
        </w:rPr>
        <w:t xml:space="preserve">-а. </w:t>
      </w:r>
      <w:r w:rsidR="00DD59D8">
        <w:rPr>
          <w:rFonts w:ascii="Times New Roman" w:eastAsia="MinionPro-Regular" w:hAnsi="Times New Roman" w:cs="Times New Roman"/>
        </w:rPr>
        <w:t>На крају су изнети закључци, као и доприноси и ограничења спроведеног истраживања.</w:t>
      </w:r>
    </w:p>
    <w:p w14:paraId="0EBF7F73" w14:textId="77777777" w:rsidR="00565166" w:rsidRPr="00DD59D8" w:rsidRDefault="00565166" w:rsidP="00565166">
      <w:pPr>
        <w:autoSpaceDE w:val="0"/>
        <w:autoSpaceDN w:val="0"/>
        <w:adjustRightInd w:val="0"/>
        <w:spacing w:line="240" w:lineRule="auto"/>
        <w:jc w:val="both"/>
        <w:rPr>
          <w:rFonts w:ascii="Times New Roman" w:eastAsia="MinionPro-Regular" w:hAnsi="Times New Roman" w:cs="Times New Roman"/>
        </w:rPr>
      </w:pPr>
    </w:p>
    <w:p w14:paraId="63891E2A" w14:textId="77777777" w:rsidR="009701AA" w:rsidRPr="00FA731A" w:rsidRDefault="009701AA" w:rsidP="00565166">
      <w:pPr>
        <w:tabs>
          <w:tab w:val="left" w:pos="8325"/>
        </w:tabs>
        <w:jc w:val="both"/>
        <w:rPr>
          <w:rFonts w:ascii="Times New Roman" w:hAnsi="Times New Roman" w:cs="Times New Roman"/>
          <w:b/>
          <w:bCs/>
        </w:rPr>
      </w:pPr>
      <w:r w:rsidRPr="00FA731A">
        <w:rPr>
          <w:rFonts w:ascii="Times New Roman" w:hAnsi="Times New Roman" w:cs="Times New Roman"/>
          <w:b/>
          <w:bCs/>
        </w:rPr>
        <w:t>Преглед литературе</w:t>
      </w:r>
    </w:p>
    <w:p w14:paraId="1E5724BA" w14:textId="77777777" w:rsidR="00CF419C" w:rsidRPr="008F56AF" w:rsidRDefault="00CF419C" w:rsidP="00D842FD">
      <w:pPr>
        <w:tabs>
          <w:tab w:val="left" w:pos="8325"/>
        </w:tabs>
        <w:jc w:val="both"/>
        <w:rPr>
          <w:rFonts w:ascii="Times New Roman" w:hAnsi="Times New Roman" w:cs="Times New Roman"/>
        </w:rPr>
      </w:pPr>
      <w:r w:rsidRPr="00FA731A">
        <w:rPr>
          <w:rFonts w:ascii="Times New Roman" w:hAnsi="Times New Roman" w:cs="Times New Roman"/>
        </w:rPr>
        <w:t>Предвиђање берзанских цена</w:t>
      </w:r>
      <w:r w:rsidR="00D156FC" w:rsidRPr="00FA731A">
        <w:rPr>
          <w:rFonts w:ascii="Times New Roman" w:hAnsi="Times New Roman" w:cs="Times New Roman"/>
        </w:rPr>
        <w:t xml:space="preserve"> одређеног финансијског инструмента,</w:t>
      </w:r>
      <w:r w:rsidRPr="00FA731A">
        <w:rPr>
          <w:rFonts w:ascii="Times New Roman" w:hAnsi="Times New Roman" w:cs="Times New Roman"/>
        </w:rPr>
        <w:t xml:space="preserve"> узимајући у обзир све динамичке факторе</w:t>
      </w:r>
      <w:r w:rsidR="00D156FC" w:rsidRPr="00FA731A">
        <w:rPr>
          <w:rFonts w:ascii="Times New Roman" w:hAnsi="Times New Roman" w:cs="Times New Roman"/>
        </w:rPr>
        <w:t>,</w:t>
      </w:r>
      <w:r w:rsidRPr="00FA731A">
        <w:rPr>
          <w:rFonts w:ascii="Times New Roman" w:hAnsi="Times New Roman" w:cs="Times New Roman"/>
        </w:rPr>
        <w:t xml:space="preserve"> је важан део пословног инвестиционог плана. Многи истраживачи</w:t>
      </w:r>
      <w:r w:rsidR="00D156FC" w:rsidRPr="00FA731A">
        <w:rPr>
          <w:rFonts w:ascii="Times New Roman" w:hAnsi="Times New Roman" w:cs="Times New Roman"/>
        </w:rPr>
        <w:t xml:space="preserve"> </w:t>
      </w:r>
      <w:r w:rsidRPr="00FA731A">
        <w:rPr>
          <w:rFonts w:ascii="Times New Roman" w:hAnsi="Times New Roman" w:cs="Times New Roman"/>
        </w:rPr>
        <w:t xml:space="preserve">су </w:t>
      </w:r>
      <w:r w:rsidR="005D5CB5">
        <w:rPr>
          <w:rFonts w:ascii="Times New Roman" w:hAnsi="Times New Roman" w:cs="Times New Roman"/>
        </w:rPr>
        <w:t>испитивали</w:t>
      </w:r>
      <w:r w:rsidRPr="00FA731A">
        <w:rPr>
          <w:rFonts w:ascii="Times New Roman" w:hAnsi="Times New Roman" w:cs="Times New Roman"/>
        </w:rPr>
        <w:t xml:space="preserve"> анализу временских серија, методе машинског учења и техничку анализу. </w:t>
      </w:r>
      <w:r w:rsidR="00D156FC" w:rsidRPr="00FA731A">
        <w:rPr>
          <w:rFonts w:ascii="Times New Roman" w:hAnsi="Times New Roman" w:cs="Times New Roman"/>
        </w:rPr>
        <w:t>Стога, помоћ инвеститорима пружањем предвиђања цена акција ефективним коришћењем доступних огромних великих података остаје кључна област истраживања</w:t>
      </w:r>
      <w:r w:rsidR="00754FCC">
        <w:rPr>
          <w:rFonts w:ascii="Times New Roman" w:hAnsi="Times New Roman" w:cs="Times New Roman"/>
        </w:rPr>
        <w:t xml:space="preserve"> (</w:t>
      </w:r>
      <w:r w:rsidR="00754FCC" w:rsidRPr="00754FCC">
        <w:rPr>
          <w:rFonts w:ascii="Times New Roman" w:hAnsi="Times New Roman" w:cs="Times New Roman"/>
        </w:rPr>
        <w:t>Guan</w:t>
      </w:r>
      <w:r w:rsidR="00754FCC">
        <w:rPr>
          <w:rFonts w:ascii="Times New Roman" w:hAnsi="Times New Roman" w:cs="Times New Roman"/>
        </w:rPr>
        <w:t xml:space="preserve"> </w:t>
      </w:r>
      <w:r w:rsidR="00754FCC" w:rsidRPr="00754FCC">
        <w:rPr>
          <w:rFonts w:ascii="Times New Roman" w:hAnsi="Times New Roman" w:cs="Times New Roman"/>
        </w:rPr>
        <w:t>H.</w:t>
      </w:r>
      <w:r w:rsidR="00754FCC">
        <w:rPr>
          <w:rFonts w:ascii="Times New Roman" w:hAnsi="Times New Roman" w:cs="Times New Roman"/>
        </w:rPr>
        <w:t xml:space="preserve">, </w:t>
      </w:r>
      <w:r w:rsidR="00754FCC" w:rsidRPr="00754FCC">
        <w:rPr>
          <w:rFonts w:ascii="Times New Roman" w:hAnsi="Times New Roman" w:cs="Times New Roman"/>
        </w:rPr>
        <w:t>Dai</w:t>
      </w:r>
      <w:r w:rsidR="00754FCC">
        <w:rPr>
          <w:rFonts w:ascii="Times New Roman" w:hAnsi="Times New Roman" w:cs="Times New Roman"/>
        </w:rPr>
        <w:t xml:space="preserve"> </w:t>
      </w:r>
      <w:r w:rsidR="00754FCC" w:rsidRPr="00754FCC">
        <w:rPr>
          <w:rFonts w:ascii="Times New Roman" w:hAnsi="Times New Roman" w:cs="Times New Roman"/>
        </w:rPr>
        <w:t>Z.</w:t>
      </w:r>
      <w:r w:rsidR="00754FCC">
        <w:rPr>
          <w:rFonts w:ascii="Times New Roman" w:hAnsi="Times New Roman" w:cs="Times New Roman"/>
        </w:rPr>
        <w:t>,</w:t>
      </w:r>
      <w:r w:rsidR="00754FCC" w:rsidRPr="00754FCC">
        <w:rPr>
          <w:rFonts w:ascii="Times New Roman" w:hAnsi="Times New Roman" w:cs="Times New Roman"/>
        </w:rPr>
        <w:t xml:space="preserve"> Zhao</w:t>
      </w:r>
      <w:r w:rsidR="00754FCC">
        <w:rPr>
          <w:rFonts w:ascii="Times New Roman" w:hAnsi="Times New Roman" w:cs="Times New Roman"/>
        </w:rPr>
        <w:t xml:space="preserve"> </w:t>
      </w:r>
      <w:r w:rsidR="00754FCC" w:rsidRPr="00754FCC">
        <w:rPr>
          <w:rFonts w:ascii="Times New Roman" w:hAnsi="Times New Roman" w:cs="Times New Roman"/>
        </w:rPr>
        <w:t>A.</w:t>
      </w:r>
      <w:r w:rsidR="00754FCC">
        <w:rPr>
          <w:rFonts w:ascii="Times New Roman" w:hAnsi="Times New Roman" w:cs="Times New Roman"/>
        </w:rPr>
        <w:t>,</w:t>
      </w:r>
      <w:r w:rsidR="00754FCC" w:rsidRPr="00754FCC">
        <w:rPr>
          <w:rFonts w:ascii="Times New Roman" w:hAnsi="Times New Roman" w:cs="Times New Roman"/>
        </w:rPr>
        <w:t xml:space="preserve"> He</w:t>
      </w:r>
      <w:r w:rsidR="00754FCC">
        <w:rPr>
          <w:rFonts w:ascii="Times New Roman" w:hAnsi="Times New Roman" w:cs="Times New Roman"/>
        </w:rPr>
        <w:t xml:space="preserve"> </w:t>
      </w:r>
      <w:r w:rsidR="00754FCC" w:rsidRPr="00754FCC">
        <w:rPr>
          <w:rFonts w:ascii="Times New Roman" w:hAnsi="Times New Roman" w:cs="Times New Roman"/>
        </w:rPr>
        <w:t>J</w:t>
      </w:r>
      <w:r w:rsidR="00754FCC">
        <w:rPr>
          <w:rFonts w:ascii="Times New Roman" w:hAnsi="Times New Roman" w:cs="Times New Roman"/>
        </w:rPr>
        <w:t>., 2018)</w:t>
      </w:r>
      <w:r w:rsidR="00D156FC" w:rsidRPr="00FA731A">
        <w:rPr>
          <w:rFonts w:ascii="Times New Roman" w:hAnsi="Times New Roman" w:cs="Times New Roman"/>
        </w:rPr>
        <w:t>.</w:t>
      </w:r>
      <w:r w:rsidR="009B33EC" w:rsidRPr="00FA731A">
        <w:rPr>
          <w:rFonts w:ascii="Times New Roman" w:hAnsi="Times New Roman" w:cs="Times New Roman"/>
        </w:rPr>
        <w:t xml:space="preserve"> На тај начин се смањује ризик и обезбеђују бољи инвестициони планови.</w:t>
      </w:r>
      <w:r w:rsidR="008F56AF">
        <w:rPr>
          <w:rFonts w:ascii="Times New Roman" w:hAnsi="Times New Roman" w:cs="Times New Roman"/>
        </w:rPr>
        <w:t xml:space="preserve"> </w:t>
      </w:r>
      <w:r w:rsidRPr="00FA731A">
        <w:rPr>
          <w:rFonts w:ascii="Times New Roman" w:hAnsi="Times New Roman" w:cs="Times New Roman"/>
        </w:rPr>
        <w:t xml:space="preserve">Предвиђање временских серија </w:t>
      </w:r>
      <w:r w:rsidR="00CC32FE" w:rsidRPr="00FA731A">
        <w:rPr>
          <w:rFonts w:ascii="Times New Roman" w:hAnsi="Times New Roman" w:cs="Times New Roman"/>
        </w:rPr>
        <w:t xml:space="preserve">појединачних акција </w:t>
      </w:r>
      <w:r w:rsidRPr="00FA731A">
        <w:rPr>
          <w:rFonts w:ascii="Times New Roman" w:hAnsi="Times New Roman" w:cs="Times New Roman"/>
        </w:rPr>
        <w:t>на берзи је занимљива и отворена област истраживања</w:t>
      </w:r>
      <w:r w:rsidR="00325E75">
        <w:rPr>
          <w:rFonts w:ascii="Times New Roman" w:hAnsi="Times New Roman" w:cs="Times New Roman"/>
        </w:rPr>
        <w:t xml:space="preserve"> (</w:t>
      </w:r>
      <w:r w:rsidR="00325E75" w:rsidRPr="00325E75">
        <w:rPr>
          <w:rFonts w:ascii="Times New Roman" w:hAnsi="Times New Roman" w:cs="Times New Roman"/>
        </w:rPr>
        <w:t>Khan U, Aadil F, Ghazanfar MA, Khan S, Metawa N, Muhammad K, Mehmood I, Nam Y.</w:t>
      </w:r>
      <w:r w:rsidR="00325E75">
        <w:rPr>
          <w:rFonts w:ascii="Times New Roman" w:hAnsi="Times New Roman" w:cs="Times New Roman"/>
        </w:rPr>
        <w:t>,</w:t>
      </w:r>
      <w:r w:rsidR="00325E75" w:rsidRPr="00325E75">
        <w:rPr>
          <w:rFonts w:ascii="Times New Roman" w:hAnsi="Times New Roman" w:cs="Times New Roman"/>
        </w:rPr>
        <w:t xml:space="preserve"> 2018</w:t>
      </w:r>
      <w:r w:rsidR="00325E75">
        <w:rPr>
          <w:rFonts w:ascii="Times New Roman" w:hAnsi="Times New Roman" w:cs="Times New Roman"/>
        </w:rPr>
        <w:t xml:space="preserve">). </w:t>
      </w:r>
      <w:r w:rsidR="0019657E" w:rsidRPr="00FA731A">
        <w:rPr>
          <w:rFonts w:ascii="Times New Roman" w:hAnsi="Times New Roman" w:cs="Times New Roman"/>
        </w:rPr>
        <w:t>За анализу тржишта акција коришћене су различите технике.</w:t>
      </w:r>
    </w:p>
    <w:p w14:paraId="1028A387" w14:textId="77777777" w:rsidR="008F56AF" w:rsidRPr="00A21EAF" w:rsidRDefault="008F56AF" w:rsidP="008F56AF">
      <w:pPr>
        <w:jc w:val="both"/>
        <w:rPr>
          <w:rFonts w:ascii="Times New Roman" w:hAnsi="Times New Roman" w:cs="Times New Roman"/>
        </w:rPr>
      </w:pPr>
      <w:r w:rsidRPr="00A21EAF">
        <w:rPr>
          <w:rFonts w:ascii="Times New Roman" w:hAnsi="Times New Roman" w:cs="Times New Roman"/>
        </w:rPr>
        <w:t xml:space="preserve">Предвиђање укупног приноса на америчком тржишту почиње 1933. године Каулсовим кључним радом под називом „Can Stock Market Forecasters Forecast?“ који користи прогнозе тржишног индекса DJIA (Dow Jones Industrial Average) за конструисање портфолија. </w:t>
      </w:r>
    </w:p>
    <w:p w14:paraId="02162F1D" w14:textId="56214A3A" w:rsidR="00027FCD" w:rsidRPr="002778F9" w:rsidRDefault="001B33FA" w:rsidP="00610EDA">
      <w:pPr>
        <w:jc w:val="both"/>
        <w:rPr>
          <w:rFonts w:ascii="Times New Roman" w:hAnsi="Times New Roman" w:cs="Times New Roman"/>
        </w:rPr>
      </w:pPr>
      <w:r w:rsidRPr="001B33FA">
        <w:rPr>
          <w:rFonts w:ascii="Times New Roman" w:hAnsi="Times New Roman" w:cs="Times New Roman"/>
        </w:rPr>
        <w:t>Од касних седамдесетих година путем научних чланака истражено је да бројне економске варијабле предвиђају месечне, кварталне и/или годишње агрегатне приносе акција у САД</w:t>
      </w:r>
      <w:r w:rsidR="004D1714">
        <w:rPr>
          <w:rFonts w:ascii="Times New Roman" w:hAnsi="Times New Roman" w:cs="Times New Roman"/>
        </w:rPr>
        <w:t>-у</w:t>
      </w:r>
      <w:r w:rsidRPr="001B33FA">
        <w:rPr>
          <w:rFonts w:ascii="Times New Roman" w:hAnsi="Times New Roman" w:cs="Times New Roman"/>
        </w:rPr>
        <w:t xml:space="preserve"> у </w:t>
      </w:r>
      <w:r w:rsidRPr="001B33FA">
        <w:rPr>
          <w:rFonts w:ascii="Times New Roman" w:hAnsi="Times New Roman" w:cs="Times New Roman"/>
        </w:rPr>
        <w:lastRenderedPageBreak/>
        <w:t>оквиру предиктивног регресионог оквира.</w:t>
      </w:r>
      <w:r>
        <w:rPr>
          <w:rFonts w:ascii="Times New Roman" w:hAnsi="Times New Roman" w:cs="Times New Roman"/>
          <w:b/>
          <w:bCs/>
        </w:rPr>
        <w:t xml:space="preserve"> </w:t>
      </w:r>
      <w:r w:rsidR="00BD20CC" w:rsidRPr="00BD20CC">
        <w:rPr>
          <w:rFonts w:ascii="Times New Roman" w:hAnsi="Times New Roman" w:cs="Times New Roman"/>
        </w:rPr>
        <w:t>Истражен је однос дивиденде и цене (Rozeff, M.S.</w:t>
      </w:r>
      <w:r w:rsidR="00027FCD">
        <w:rPr>
          <w:rFonts w:ascii="Times New Roman" w:hAnsi="Times New Roman" w:cs="Times New Roman"/>
        </w:rPr>
        <w:t xml:space="preserve">, </w:t>
      </w:r>
      <w:r w:rsidR="00BD20CC" w:rsidRPr="00BD20CC">
        <w:rPr>
          <w:rFonts w:ascii="Times New Roman" w:hAnsi="Times New Roman" w:cs="Times New Roman"/>
        </w:rPr>
        <w:t>1984</w:t>
      </w:r>
      <w:r w:rsidR="002A37A2">
        <w:rPr>
          <w:rFonts w:ascii="Times New Roman" w:hAnsi="Times New Roman" w:cs="Times New Roman"/>
        </w:rPr>
        <w:t xml:space="preserve">; </w:t>
      </w:r>
      <w:r w:rsidR="00BD20CC" w:rsidRPr="00BD20CC">
        <w:rPr>
          <w:rFonts w:ascii="Times New Roman" w:hAnsi="Times New Roman" w:cs="Times New Roman"/>
        </w:rPr>
        <w:t>French, K.R.</w:t>
      </w:r>
      <w:r w:rsidR="002A37A2">
        <w:rPr>
          <w:rFonts w:ascii="Times New Roman" w:hAnsi="Times New Roman" w:cs="Times New Roman"/>
        </w:rPr>
        <w:t xml:space="preserve">, </w:t>
      </w:r>
      <w:r w:rsidR="00BD20CC" w:rsidRPr="00BD20CC">
        <w:rPr>
          <w:rFonts w:ascii="Times New Roman" w:hAnsi="Times New Roman" w:cs="Times New Roman"/>
        </w:rPr>
        <w:t>1988</w:t>
      </w:r>
      <w:r w:rsidR="004C0F60">
        <w:rPr>
          <w:rFonts w:ascii="Times New Roman" w:hAnsi="Times New Roman" w:cs="Times New Roman"/>
        </w:rPr>
        <w:t xml:space="preserve">), </w:t>
      </w:r>
      <w:r w:rsidR="00BD20CC">
        <w:rPr>
          <w:rFonts w:ascii="Times New Roman" w:hAnsi="Times New Roman" w:cs="Times New Roman"/>
        </w:rPr>
        <w:t xml:space="preserve">затим однос зараде и </w:t>
      </w:r>
      <w:r w:rsidR="00BD20CC" w:rsidRPr="00190385">
        <w:rPr>
          <w:rFonts w:ascii="Times New Roman" w:hAnsi="Times New Roman" w:cs="Times New Roman"/>
        </w:rPr>
        <w:t>цене</w:t>
      </w:r>
      <w:r w:rsidRPr="00190385">
        <w:rPr>
          <w:rFonts w:ascii="Times New Roman" w:hAnsi="Times New Roman" w:cs="Times New Roman"/>
          <w:b/>
          <w:bCs/>
        </w:rPr>
        <w:t xml:space="preserve"> </w:t>
      </w:r>
      <w:r w:rsidR="00BD20CC" w:rsidRPr="00190385">
        <w:rPr>
          <w:rFonts w:ascii="Times New Roman" w:hAnsi="Times New Roman" w:cs="Times New Roman"/>
          <w:b/>
          <w:bCs/>
        </w:rPr>
        <w:t>(</w:t>
      </w:r>
      <w:r w:rsidR="00BD20CC" w:rsidRPr="00190385">
        <w:rPr>
          <w:rFonts w:ascii="Times New Roman" w:hAnsi="Times New Roman" w:cs="Times New Roman"/>
        </w:rPr>
        <w:t>Campbell</w:t>
      </w:r>
      <w:r w:rsidR="00190385" w:rsidRPr="00190385">
        <w:rPr>
          <w:rFonts w:ascii="Times New Roman" w:hAnsi="Times New Roman" w:cs="Times New Roman"/>
        </w:rPr>
        <w:t xml:space="preserve"> </w:t>
      </w:r>
      <w:r w:rsidR="006D43FE" w:rsidRPr="00190385">
        <w:rPr>
          <w:rFonts w:ascii="Times New Roman" w:hAnsi="Times New Roman" w:cs="Times New Roman"/>
        </w:rPr>
        <w:t xml:space="preserve">&amp; </w:t>
      </w:r>
      <w:r w:rsidR="00BD20CC" w:rsidRPr="00190385">
        <w:rPr>
          <w:rFonts w:ascii="Times New Roman" w:hAnsi="Times New Roman" w:cs="Times New Roman"/>
        </w:rPr>
        <w:t>Shiller</w:t>
      </w:r>
      <w:r w:rsidR="006D43FE" w:rsidRPr="00190385">
        <w:rPr>
          <w:rFonts w:ascii="Times New Roman" w:hAnsi="Times New Roman" w:cs="Times New Roman"/>
        </w:rPr>
        <w:t>,</w:t>
      </w:r>
      <w:r w:rsidR="00BD20CC" w:rsidRPr="00190385">
        <w:rPr>
          <w:rFonts w:ascii="Times New Roman" w:hAnsi="Times New Roman" w:cs="Times New Roman"/>
        </w:rPr>
        <w:t xml:space="preserve"> 1988b</w:t>
      </w:r>
      <w:r w:rsidR="006D43FE" w:rsidRPr="00190385">
        <w:rPr>
          <w:rFonts w:ascii="Times New Roman" w:hAnsi="Times New Roman" w:cs="Times New Roman"/>
        </w:rPr>
        <w:t>)</w:t>
      </w:r>
      <w:r w:rsidR="00610EDA">
        <w:rPr>
          <w:rFonts w:ascii="Times New Roman" w:hAnsi="Times New Roman" w:cs="Times New Roman"/>
        </w:rPr>
        <w:t xml:space="preserve">, </w:t>
      </w:r>
      <w:r w:rsidRPr="00190385">
        <w:rPr>
          <w:rFonts w:ascii="Times New Roman" w:hAnsi="Times New Roman" w:cs="Times New Roman"/>
        </w:rPr>
        <w:t>волатилност берзе</w:t>
      </w:r>
      <w:r w:rsidR="00BD20CC" w:rsidRPr="00190385">
        <w:t xml:space="preserve"> (</w:t>
      </w:r>
      <w:r w:rsidR="00BD20CC" w:rsidRPr="00190385">
        <w:rPr>
          <w:rFonts w:ascii="Times New Roman" w:hAnsi="Times New Roman" w:cs="Times New Roman"/>
        </w:rPr>
        <w:t>Guo, H.</w:t>
      </w:r>
      <w:r w:rsidR="006D43FE" w:rsidRPr="00190385">
        <w:rPr>
          <w:rFonts w:ascii="Times New Roman" w:hAnsi="Times New Roman" w:cs="Times New Roman"/>
        </w:rPr>
        <w:t xml:space="preserve">, </w:t>
      </w:r>
      <w:r w:rsidR="00BD20CC" w:rsidRPr="00190385">
        <w:rPr>
          <w:rFonts w:ascii="Times New Roman" w:hAnsi="Times New Roman" w:cs="Times New Roman"/>
        </w:rPr>
        <w:t>2006</w:t>
      </w:r>
      <w:r w:rsidR="004C0F60" w:rsidRPr="00190385">
        <w:rPr>
          <w:rFonts w:ascii="Times New Roman" w:hAnsi="Times New Roman" w:cs="Times New Roman"/>
        </w:rPr>
        <w:t>),</w:t>
      </w:r>
      <w:r w:rsidR="00610EDA">
        <w:rPr>
          <w:rFonts w:ascii="Times New Roman" w:hAnsi="Times New Roman" w:cs="Times New Roman"/>
        </w:rPr>
        <w:t xml:space="preserve"> очекивани услови пословања (</w:t>
      </w:r>
      <w:r w:rsidR="00610EDA" w:rsidRPr="00610EDA">
        <w:rPr>
          <w:rFonts w:ascii="Times New Roman" w:hAnsi="Times New Roman" w:cs="Times New Roman"/>
        </w:rPr>
        <w:t>Campbell</w:t>
      </w:r>
      <w:r w:rsidR="00610EDA">
        <w:rPr>
          <w:rFonts w:ascii="Times New Roman" w:hAnsi="Times New Roman" w:cs="Times New Roman"/>
        </w:rPr>
        <w:t xml:space="preserve"> &amp;</w:t>
      </w:r>
      <w:r w:rsidR="00610EDA" w:rsidRPr="00610EDA">
        <w:rPr>
          <w:rFonts w:ascii="Times New Roman" w:hAnsi="Times New Roman" w:cs="Times New Roman"/>
        </w:rPr>
        <w:t xml:space="preserve"> Diebold, 2009</w:t>
      </w:r>
      <w:r w:rsidR="00610EDA">
        <w:rPr>
          <w:rFonts w:ascii="Times New Roman" w:hAnsi="Times New Roman" w:cs="Times New Roman"/>
        </w:rPr>
        <w:t>)</w:t>
      </w:r>
      <w:r w:rsidR="002778F9">
        <w:rPr>
          <w:rFonts w:ascii="Times New Roman" w:hAnsi="Times New Roman" w:cs="Times New Roman"/>
        </w:rPr>
        <w:t>, потом и цене нафте (</w:t>
      </w:r>
      <w:r w:rsidR="002778F9" w:rsidRPr="002778F9">
        <w:rPr>
          <w:rFonts w:ascii="Times New Roman" w:hAnsi="Times New Roman" w:cs="Times New Roman"/>
        </w:rPr>
        <w:t xml:space="preserve">Driesprong </w:t>
      </w:r>
      <w:r w:rsidR="002778F9">
        <w:rPr>
          <w:rFonts w:ascii="Times New Roman" w:hAnsi="Times New Roman" w:cs="Times New Roman"/>
        </w:rPr>
        <w:t>и други,</w:t>
      </w:r>
      <w:r w:rsidR="002778F9" w:rsidRPr="002778F9">
        <w:rPr>
          <w:rFonts w:ascii="Times New Roman" w:hAnsi="Times New Roman" w:cs="Times New Roman"/>
        </w:rPr>
        <w:t xml:space="preserve"> 2008</w:t>
      </w:r>
      <w:r w:rsidR="002778F9">
        <w:rPr>
          <w:rFonts w:ascii="Times New Roman" w:hAnsi="Times New Roman" w:cs="Times New Roman"/>
        </w:rPr>
        <w:t>)</w:t>
      </w:r>
      <w:r w:rsidR="0082037D" w:rsidRPr="00190385">
        <w:rPr>
          <w:rFonts w:ascii="Times New Roman" w:hAnsi="Times New Roman" w:cs="Times New Roman"/>
        </w:rPr>
        <w:t xml:space="preserve"> и</w:t>
      </w:r>
      <w:r w:rsidR="005D5CB5">
        <w:rPr>
          <w:rFonts w:ascii="Times New Roman" w:hAnsi="Times New Roman" w:cs="Times New Roman"/>
        </w:rPr>
        <w:t xml:space="preserve"> тако даље</w:t>
      </w:r>
      <w:r w:rsidR="0082037D" w:rsidRPr="00190385">
        <w:rPr>
          <w:rFonts w:ascii="Times New Roman" w:hAnsi="Times New Roman" w:cs="Times New Roman"/>
        </w:rPr>
        <w:t>, која</w:t>
      </w:r>
      <w:r w:rsidR="0082037D" w:rsidRPr="00CD581F">
        <w:rPr>
          <w:rFonts w:ascii="Times New Roman" w:hAnsi="Times New Roman" w:cs="Times New Roman"/>
        </w:rPr>
        <w:t xml:space="preserve"> одражавају све већи број доказа </w:t>
      </w:r>
      <w:r w:rsidR="00CD581F" w:rsidRPr="00CD581F">
        <w:rPr>
          <w:rFonts w:ascii="Times New Roman" w:hAnsi="Times New Roman" w:cs="Times New Roman"/>
        </w:rPr>
        <w:t xml:space="preserve">о предвидивисти приноса акција у предиктивним </w:t>
      </w:r>
      <w:r w:rsidR="00CD581F" w:rsidRPr="004C0F60">
        <w:rPr>
          <w:rFonts w:ascii="Times New Roman" w:hAnsi="Times New Roman" w:cs="Times New Roman"/>
        </w:rPr>
        <w:t>регресијама.</w:t>
      </w:r>
      <w:r w:rsidR="00D902C9">
        <w:rPr>
          <w:rFonts w:ascii="Times New Roman" w:hAnsi="Times New Roman" w:cs="Times New Roman"/>
        </w:rPr>
        <w:t xml:space="preserve"> Мукерји и други (1997) су истраживали однос између приноса акција са корејске берзе, која се сматра једном од највећих на свету, током десетогодишњег периода и варијабли попут продајне цене</w:t>
      </w:r>
      <w:r w:rsidR="00DD0DF3">
        <w:rPr>
          <w:rFonts w:ascii="Times New Roman" w:hAnsi="Times New Roman" w:cs="Times New Roman"/>
        </w:rPr>
        <w:t xml:space="preserve"> и </w:t>
      </w:r>
      <w:r w:rsidR="00D902C9">
        <w:rPr>
          <w:rFonts w:ascii="Times New Roman" w:hAnsi="Times New Roman" w:cs="Times New Roman"/>
        </w:rPr>
        <w:t>величине предузећа</w:t>
      </w:r>
      <w:r w:rsidR="002778F9">
        <w:rPr>
          <w:rFonts w:ascii="Times New Roman" w:hAnsi="Times New Roman" w:cs="Times New Roman"/>
        </w:rPr>
        <w:t>. Фама је још 199</w:t>
      </w:r>
      <w:r w:rsidR="0056546F">
        <w:rPr>
          <w:rFonts w:ascii="Times New Roman" w:hAnsi="Times New Roman" w:cs="Times New Roman"/>
        </w:rPr>
        <w:t>1</w:t>
      </w:r>
      <w:r w:rsidR="002778F9">
        <w:rPr>
          <w:rFonts w:ascii="Times New Roman" w:hAnsi="Times New Roman" w:cs="Times New Roman"/>
        </w:rPr>
        <w:t xml:space="preserve">. године </w:t>
      </w:r>
      <w:r w:rsidR="001734D0">
        <w:rPr>
          <w:rFonts w:ascii="Times New Roman" w:hAnsi="Times New Roman" w:cs="Times New Roman"/>
        </w:rPr>
        <w:t xml:space="preserve">истакао све </w:t>
      </w:r>
      <w:r w:rsidR="002778F9" w:rsidRPr="002778F9">
        <w:rPr>
          <w:rFonts w:ascii="Times New Roman" w:hAnsi="Times New Roman" w:cs="Times New Roman"/>
        </w:rPr>
        <w:t>већи број доказа о предвидљивости приноса акција у предиктивним регресијама. Ови докази су</w:t>
      </w:r>
      <w:r w:rsidR="000E3ACC">
        <w:rPr>
          <w:rFonts w:ascii="Times New Roman" w:hAnsi="Times New Roman" w:cs="Times New Roman"/>
          <w:lang w:val="sr-Cyrl-RS"/>
        </w:rPr>
        <w:t>,</w:t>
      </w:r>
      <w:r w:rsidR="002778F9" w:rsidRPr="002778F9">
        <w:rPr>
          <w:rFonts w:ascii="Times New Roman" w:hAnsi="Times New Roman" w:cs="Times New Roman"/>
        </w:rPr>
        <w:t xml:space="preserve"> такође</w:t>
      </w:r>
      <w:r w:rsidR="000E3ACC">
        <w:rPr>
          <w:rFonts w:ascii="Times New Roman" w:hAnsi="Times New Roman" w:cs="Times New Roman"/>
          <w:lang w:val="sr-Cyrl-RS"/>
        </w:rPr>
        <w:t>,</w:t>
      </w:r>
      <w:r w:rsidR="002778F9" w:rsidRPr="002778F9">
        <w:rPr>
          <w:rFonts w:ascii="Times New Roman" w:hAnsi="Times New Roman" w:cs="Times New Roman"/>
        </w:rPr>
        <w:t xml:space="preserve"> подстакли развој модела опште равнотеже цена имовине који карактеришу рационални временски променљиви очекивани приноси (</w:t>
      </w:r>
      <w:r w:rsidR="001734D0">
        <w:rPr>
          <w:rFonts w:ascii="Times New Roman" w:hAnsi="Times New Roman" w:cs="Times New Roman"/>
        </w:rPr>
        <w:t>на пример</w:t>
      </w:r>
      <w:r w:rsidR="001734D0" w:rsidRPr="001734D0">
        <w:t xml:space="preserve"> </w:t>
      </w:r>
      <w:r w:rsidR="001734D0" w:rsidRPr="001734D0">
        <w:rPr>
          <w:rFonts w:ascii="Times New Roman" w:hAnsi="Times New Roman" w:cs="Times New Roman"/>
        </w:rPr>
        <w:t xml:space="preserve">Campbell </w:t>
      </w:r>
      <w:r w:rsidR="001734D0">
        <w:rPr>
          <w:rFonts w:ascii="Times New Roman" w:hAnsi="Times New Roman" w:cs="Times New Roman"/>
        </w:rPr>
        <w:t xml:space="preserve">&amp; </w:t>
      </w:r>
      <w:r w:rsidR="001734D0" w:rsidRPr="001734D0">
        <w:rPr>
          <w:rFonts w:ascii="Times New Roman" w:hAnsi="Times New Roman" w:cs="Times New Roman"/>
        </w:rPr>
        <w:t>Cochrane, 1999</w:t>
      </w:r>
      <w:r w:rsidR="001734D0">
        <w:rPr>
          <w:rFonts w:ascii="Times New Roman" w:hAnsi="Times New Roman" w:cs="Times New Roman"/>
        </w:rPr>
        <w:t>).</w:t>
      </w:r>
    </w:p>
    <w:p w14:paraId="281A2070" w14:textId="77777777" w:rsidR="00AF55CB" w:rsidRPr="000F6AF7" w:rsidRDefault="00AF55CB" w:rsidP="000F6AF7">
      <w:pPr>
        <w:jc w:val="both"/>
        <w:rPr>
          <w:rFonts w:ascii="Times New Roman" w:hAnsi="Times New Roman" w:cs="Times New Roman"/>
        </w:rPr>
      </w:pPr>
      <w:r w:rsidRPr="00AF55CB">
        <w:rPr>
          <w:rFonts w:ascii="Times New Roman" w:hAnsi="Times New Roman" w:cs="Times New Roman"/>
        </w:rPr>
        <w:t xml:space="preserve">Büyükşalvarcı (2010) </w:t>
      </w:r>
      <w:r>
        <w:rPr>
          <w:rFonts w:ascii="Times New Roman" w:hAnsi="Times New Roman" w:cs="Times New Roman"/>
        </w:rPr>
        <w:t xml:space="preserve">је испитивао ефекат </w:t>
      </w:r>
      <w:r w:rsidRPr="00AF55CB">
        <w:rPr>
          <w:rFonts w:ascii="Times New Roman" w:hAnsi="Times New Roman" w:cs="Times New Roman"/>
        </w:rPr>
        <w:t xml:space="preserve">седам </w:t>
      </w:r>
      <w:r>
        <w:rPr>
          <w:rFonts w:ascii="Times New Roman" w:hAnsi="Times New Roman" w:cs="Times New Roman"/>
        </w:rPr>
        <w:t xml:space="preserve">макроекономских </w:t>
      </w:r>
      <w:r w:rsidRPr="00AF55CB">
        <w:rPr>
          <w:rFonts w:ascii="Times New Roman" w:hAnsi="Times New Roman" w:cs="Times New Roman"/>
        </w:rPr>
        <w:t>варијабли на тржишту турске берзе користећи оквир теорије арбитражног одређивања цена</w:t>
      </w:r>
      <w:r>
        <w:rPr>
          <w:rFonts w:ascii="Times New Roman" w:hAnsi="Times New Roman" w:cs="Times New Roman"/>
        </w:rPr>
        <w:t xml:space="preserve"> уз помоћ вишеструке регресије</w:t>
      </w:r>
      <w:r w:rsidRPr="00AF55CB">
        <w:rPr>
          <w:rFonts w:ascii="Times New Roman" w:hAnsi="Times New Roman" w:cs="Times New Roman"/>
        </w:rPr>
        <w:t>.</w:t>
      </w:r>
      <w:r>
        <w:rPr>
          <w:rFonts w:ascii="Times New Roman" w:hAnsi="Times New Roman" w:cs="Times New Roman"/>
        </w:rPr>
        <w:t xml:space="preserve"> Резултати су показали да индекс индустријске производње, па и цена нафте имају негативни ефекат</w:t>
      </w:r>
      <w:r w:rsidR="005D5CB5">
        <w:rPr>
          <w:rFonts w:ascii="Times New Roman" w:hAnsi="Times New Roman" w:cs="Times New Roman"/>
        </w:rPr>
        <w:t xml:space="preserve"> </w:t>
      </w:r>
      <w:r>
        <w:rPr>
          <w:rFonts w:ascii="Times New Roman" w:hAnsi="Times New Roman" w:cs="Times New Roman"/>
        </w:rPr>
        <w:t>на приносе индекса истанбулске берзе, а, штавише, цена злата нема значајан утицај на приносе индекса XU 100 (</w:t>
      </w:r>
      <w:r w:rsidRPr="00AF55CB">
        <w:rPr>
          <w:rFonts w:ascii="Times New Roman" w:hAnsi="Times New Roman" w:cs="Times New Roman"/>
        </w:rPr>
        <w:t>Istanbul Stock Exchange Index-100</w:t>
      </w:r>
      <w:r>
        <w:rPr>
          <w:rFonts w:ascii="Times New Roman" w:hAnsi="Times New Roman" w:cs="Times New Roman"/>
        </w:rPr>
        <w:t>).</w:t>
      </w:r>
      <w:r w:rsidR="000F6AF7" w:rsidRPr="000F6AF7">
        <w:t xml:space="preserve"> </w:t>
      </w:r>
      <w:r w:rsidR="000F6AF7" w:rsidRPr="000F6AF7">
        <w:rPr>
          <w:rFonts w:ascii="Times New Roman" w:hAnsi="Times New Roman" w:cs="Times New Roman"/>
        </w:rPr>
        <w:t>Yogaswari</w:t>
      </w:r>
      <w:r w:rsidR="000F6AF7">
        <w:rPr>
          <w:rFonts w:ascii="Times New Roman" w:hAnsi="Times New Roman" w:cs="Times New Roman"/>
        </w:rPr>
        <w:t xml:space="preserve"> и други (2012) су испитивали </w:t>
      </w:r>
      <w:r w:rsidR="000F6AF7" w:rsidRPr="000F6AF7">
        <w:rPr>
          <w:rFonts w:ascii="Times New Roman" w:hAnsi="Times New Roman" w:cs="Times New Roman"/>
        </w:rPr>
        <w:t xml:space="preserve">утицај макроекономских варијабли на кретање цена акција на </w:t>
      </w:r>
      <w:r w:rsidR="000F6AF7">
        <w:rPr>
          <w:rFonts w:ascii="Times New Roman" w:hAnsi="Times New Roman" w:cs="Times New Roman"/>
        </w:rPr>
        <w:t xml:space="preserve">индонежанској </w:t>
      </w:r>
      <w:r w:rsidR="000F6AF7" w:rsidRPr="000F6AF7">
        <w:rPr>
          <w:rFonts w:ascii="Times New Roman" w:hAnsi="Times New Roman" w:cs="Times New Roman"/>
        </w:rPr>
        <w:t>берзи.</w:t>
      </w:r>
      <w:r w:rsidR="000F6AF7">
        <w:rPr>
          <w:rFonts w:ascii="Times New Roman" w:hAnsi="Times New Roman" w:cs="Times New Roman"/>
        </w:rPr>
        <w:t xml:space="preserve"> </w:t>
      </w:r>
      <w:r w:rsidR="000F6AF7" w:rsidRPr="000F6AF7">
        <w:rPr>
          <w:rFonts w:ascii="Times New Roman" w:hAnsi="Times New Roman" w:cs="Times New Roman"/>
        </w:rPr>
        <w:t xml:space="preserve">Промена инфлације </w:t>
      </w:r>
      <w:r w:rsidR="000F6AF7">
        <w:rPr>
          <w:rFonts w:ascii="Times New Roman" w:hAnsi="Times New Roman" w:cs="Times New Roman"/>
        </w:rPr>
        <w:t>позитивно утиче</w:t>
      </w:r>
      <w:r w:rsidR="000F6AF7" w:rsidRPr="000F6AF7">
        <w:rPr>
          <w:rFonts w:ascii="Times New Roman" w:hAnsi="Times New Roman" w:cs="Times New Roman"/>
        </w:rPr>
        <w:t xml:space="preserve">, док промена каматне стопе и </w:t>
      </w:r>
      <w:r w:rsidR="000F6AF7">
        <w:rPr>
          <w:rFonts w:ascii="Times New Roman" w:hAnsi="Times New Roman" w:cs="Times New Roman"/>
        </w:rPr>
        <w:t>девизног курса</w:t>
      </w:r>
      <w:r w:rsidR="000F6AF7" w:rsidRPr="000F6AF7">
        <w:rPr>
          <w:rFonts w:ascii="Times New Roman" w:hAnsi="Times New Roman" w:cs="Times New Roman"/>
        </w:rPr>
        <w:t xml:space="preserve"> негативно утичу на цену акција у Jakarta Composite Index-у (JCI), који је главни индекс индонежанске берзе и представља просечну вредност цена акција најликвидниј</w:t>
      </w:r>
      <w:r w:rsidR="00AA1FEC">
        <w:rPr>
          <w:rFonts w:ascii="Times New Roman" w:hAnsi="Times New Roman" w:cs="Times New Roman"/>
        </w:rPr>
        <w:t>их</w:t>
      </w:r>
      <w:r w:rsidR="000F6AF7" w:rsidRPr="000F6AF7">
        <w:rPr>
          <w:rFonts w:ascii="Times New Roman" w:hAnsi="Times New Roman" w:cs="Times New Roman"/>
        </w:rPr>
        <w:t xml:space="preserve"> компанија које се котирају на берзи у Јакарти. Позивајући се на статистички резултат да постоји вероватноћа другог фактора који утиче на волатилност цене акција, </w:t>
      </w:r>
      <w:r w:rsidR="000F6AF7">
        <w:rPr>
          <w:rFonts w:ascii="Times New Roman" w:hAnsi="Times New Roman" w:cs="Times New Roman"/>
        </w:rPr>
        <w:t xml:space="preserve">аутори наглашавају да је </w:t>
      </w:r>
      <w:r w:rsidR="000F6AF7" w:rsidRPr="000F6AF7">
        <w:rPr>
          <w:rFonts w:ascii="Times New Roman" w:hAnsi="Times New Roman" w:cs="Times New Roman"/>
        </w:rPr>
        <w:t>неопходно даље истраживање коришћењем других независних варијабли</w:t>
      </w:r>
      <w:r w:rsidR="000F6AF7">
        <w:rPr>
          <w:rFonts w:ascii="Times New Roman" w:hAnsi="Times New Roman" w:cs="Times New Roman"/>
        </w:rPr>
        <w:t xml:space="preserve"> везаних за JCI</w:t>
      </w:r>
      <w:r w:rsidR="000F6AF7" w:rsidRPr="000F6AF7">
        <w:t>.</w:t>
      </w:r>
    </w:p>
    <w:p w14:paraId="0D5B254F" w14:textId="77777777" w:rsidR="00447002" w:rsidRPr="00F57805" w:rsidRDefault="002D0EA5" w:rsidP="004C0F60">
      <w:pPr>
        <w:jc w:val="both"/>
        <w:rPr>
          <w:rFonts w:ascii="Times New Roman" w:hAnsi="Times New Roman" w:cs="Times New Roman"/>
        </w:rPr>
      </w:pPr>
      <w:r>
        <w:rPr>
          <w:rFonts w:ascii="Times New Roman" w:hAnsi="Times New Roman" w:cs="Times New Roman"/>
        </w:rPr>
        <w:t>Dutta</w:t>
      </w:r>
      <w:r w:rsidR="007B2680">
        <w:rPr>
          <w:rFonts w:ascii="Times New Roman" w:hAnsi="Times New Roman" w:cs="Times New Roman"/>
        </w:rPr>
        <w:t xml:space="preserve"> (2012)</w:t>
      </w:r>
      <w:r>
        <w:rPr>
          <w:rFonts w:ascii="Times New Roman" w:hAnsi="Times New Roman" w:cs="Times New Roman"/>
        </w:rPr>
        <w:t xml:space="preserve"> у свом раду користи логистичку регресију</w:t>
      </w:r>
      <w:r w:rsidR="007B2680">
        <w:rPr>
          <w:rFonts w:ascii="Times New Roman" w:hAnsi="Times New Roman" w:cs="Times New Roman"/>
        </w:rPr>
        <w:t xml:space="preserve"> и различите финансијске показатеље као независне предикторе да би истражио индикаторе који значајно утичу на перформансе акција којима се активно тргује на индијском тржишту акција. </w:t>
      </w:r>
      <w:r w:rsidR="007B2680" w:rsidRPr="007B2680">
        <w:rPr>
          <w:rFonts w:ascii="Times New Roman" w:hAnsi="Times New Roman" w:cs="Times New Roman"/>
        </w:rPr>
        <w:t>Макроекономске варијабле, које</w:t>
      </w:r>
      <w:r w:rsidR="00EA49DF">
        <w:rPr>
          <w:rFonts w:ascii="Times New Roman" w:hAnsi="Times New Roman" w:cs="Times New Roman"/>
        </w:rPr>
        <w:t>,</w:t>
      </w:r>
      <w:r w:rsidR="007B2680" w:rsidRPr="007B2680">
        <w:rPr>
          <w:rFonts w:ascii="Times New Roman" w:hAnsi="Times New Roman" w:cs="Times New Roman"/>
        </w:rPr>
        <w:t xml:space="preserve"> такође</w:t>
      </w:r>
      <w:r w:rsidR="00EA49DF">
        <w:rPr>
          <w:rFonts w:ascii="Times New Roman" w:hAnsi="Times New Roman" w:cs="Times New Roman"/>
        </w:rPr>
        <w:t>,</w:t>
      </w:r>
      <w:r w:rsidR="007B2680" w:rsidRPr="007B2680">
        <w:rPr>
          <w:rFonts w:ascii="Times New Roman" w:hAnsi="Times New Roman" w:cs="Times New Roman"/>
        </w:rPr>
        <w:t xml:space="preserve"> могу утицати на цену акција, међутим, нису узете у обзир.</w:t>
      </w:r>
      <w:r w:rsidR="007B2680">
        <w:rPr>
          <w:rFonts w:ascii="Times New Roman" w:hAnsi="Times New Roman" w:cs="Times New Roman"/>
        </w:rPr>
        <w:t xml:space="preserve"> </w:t>
      </w:r>
      <w:r w:rsidR="007B2680" w:rsidRPr="007B2680">
        <w:rPr>
          <w:rFonts w:ascii="Times New Roman" w:hAnsi="Times New Roman" w:cs="Times New Roman"/>
        </w:rPr>
        <w:t>Аутори наводе да овај модел могу да користе инвеститори, менаџери фондова и инвестиционе компаније како би побољшали своју способност да изаберу акције са бољим учинком</w:t>
      </w:r>
      <w:r w:rsidR="007B2680">
        <w:rPr>
          <w:rFonts w:ascii="Times New Roman" w:hAnsi="Times New Roman" w:cs="Times New Roman"/>
        </w:rPr>
        <w:t xml:space="preserve">. </w:t>
      </w:r>
      <w:r w:rsidR="00B471A4" w:rsidRPr="00B471A4">
        <w:rPr>
          <w:rFonts w:ascii="Times New Roman" w:hAnsi="Times New Roman" w:cs="Times New Roman"/>
        </w:rPr>
        <w:t>Zamlelov и Michelsen (2019) су истраживали однос између волатилности приноса акција и променљивости вишеструких цена на бази података са данске, шведске и норвешке берзе. Резултати су показали да волатилност односа P/E, P/B и P/C рација може објаснити варијансу у променљивости приноса акција и да се моћ објашњења разликује у различитим индустријама, али не постоји јасан правац или тренд на било којој од три берзе. Штавише, резултати показују да волатилност вишеструких цена најбоље објашњава варијансу у променљивости приноса акција у периодима високе тржишне неизвесности, што важи за сва три тржишта акција.</w:t>
      </w:r>
      <w:r w:rsidR="00B471A4">
        <w:rPr>
          <w:rFonts w:ascii="Times New Roman" w:hAnsi="Times New Roman" w:cs="Times New Roman"/>
        </w:rPr>
        <w:t xml:space="preserve"> </w:t>
      </w:r>
      <w:r w:rsidR="00B04C79">
        <w:rPr>
          <w:rFonts w:ascii="Times New Roman" w:hAnsi="Times New Roman" w:cs="Times New Roman"/>
        </w:rPr>
        <w:t xml:space="preserve">Даље, </w:t>
      </w:r>
      <w:r w:rsidR="00B04C79" w:rsidRPr="007F21B6">
        <w:rPr>
          <w:rFonts w:ascii="Times New Roman" w:hAnsi="Times New Roman" w:cs="Times New Roman"/>
        </w:rPr>
        <w:t>Shengxuan Chen (2020) је користио</w:t>
      </w:r>
      <w:r w:rsidR="00B04C79">
        <w:rPr>
          <w:rFonts w:ascii="Times New Roman" w:hAnsi="Times New Roman" w:cs="Times New Roman"/>
        </w:rPr>
        <w:t xml:space="preserve"> вишеструку линеарну регресију да би предвидео дневни принос </w:t>
      </w:r>
      <w:r w:rsidR="00B04C79" w:rsidRPr="00B04C79">
        <w:rPr>
          <w:rFonts w:ascii="Times New Roman" w:hAnsi="Times New Roman" w:cs="Times New Roman"/>
        </w:rPr>
        <w:t>S&amp;P 500 Index ETF (SPY)</w:t>
      </w:r>
      <w:r w:rsidR="00B04C79">
        <w:rPr>
          <w:rFonts w:ascii="Times New Roman" w:hAnsi="Times New Roman" w:cs="Times New Roman"/>
        </w:rPr>
        <w:t>.</w:t>
      </w:r>
      <w:r w:rsidR="00756887" w:rsidRPr="00756887">
        <w:t xml:space="preserve"> </w:t>
      </w:r>
      <w:r w:rsidR="00756887">
        <w:rPr>
          <w:rFonts w:ascii="Times New Roman" w:hAnsi="Times New Roman" w:cs="Times New Roman"/>
        </w:rPr>
        <w:t xml:space="preserve">Albalhi </w:t>
      </w:r>
      <w:r w:rsidR="00756887" w:rsidRPr="00756887">
        <w:rPr>
          <w:rFonts w:ascii="Times New Roman" w:hAnsi="Times New Roman" w:cs="Times New Roman"/>
        </w:rPr>
        <w:t>и др</w:t>
      </w:r>
      <w:r w:rsidR="003A6EBE">
        <w:rPr>
          <w:rFonts w:ascii="Times New Roman" w:hAnsi="Times New Roman" w:cs="Times New Roman"/>
        </w:rPr>
        <w:t xml:space="preserve">уги (2022) </w:t>
      </w:r>
      <w:r w:rsidR="00756887" w:rsidRPr="00756887">
        <w:rPr>
          <w:rFonts w:ascii="Times New Roman" w:hAnsi="Times New Roman" w:cs="Times New Roman"/>
        </w:rPr>
        <w:t>с</w:t>
      </w:r>
      <w:r w:rsidR="007B30E7">
        <w:rPr>
          <w:rFonts w:ascii="Times New Roman" w:hAnsi="Times New Roman" w:cs="Times New Roman"/>
        </w:rPr>
        <w:t>у</w:t>
      </w:r>
      <w:r w:rsidR="00756887" w:rsidRPr="00756887">
        <w:rPr>
          <w:rFonts w:ascii="Times New Roman" w:hAnsi="Times New Roman" w:cs="Times New Roman"/>
        </w:rPr>
        <w:t xml:space="preserve"> </w:t>
      </w:r>
      <w:r w:rsidR="007B30E7">
        <w:rPr>
          <w:rFonts w:ascii="Times New Roman" w:hAnsi="Times New Roman" w:cs="Times New Roman"/>
        </w:rPr>
        <w:t xml:space="preserve">се </w:t>
      </w:r>
      <w:r w:rsidR="00756887" w:rsidRPr="00756887">
        <w:rPr>
          <w:rFonts w:ascii="Times New Roman" w:hAnsi="Times New Roman" w:cs="Times New Roman"/>
        </w:rPr>
        <w:t>фокусира</w:t>
      </w:r>
      <w:r w:rsidR="007B30E7">
        <w:rPr>
          <w:rFonts w:ascii="Times New Roman" w:hAnsi="Times New Roman" w:cs="Times New Roman"/>
        </w:rPr>
        <w:t>ли</w:t>
      </w:r>
      <w:r w:rsidR="00756887" w:rsidRPr="00756887">
        <w:rPr>
          <w:rFonts w:ascii="Times New Roman" w:hAnsi="Times New Roman" w:cs="Times New Roman"/>
        </w:rPr>
        <w:t xml:space="preserve"> на предвиђање цена акција користећи десетогодишње податке </w:t>
      </w:r>
      <w:r w:rsidR="007B30E7">
        <w:rPr>
          <w:rFonts w:ascii="Times New Roman" w:hAnsi="Times New Roman" w:cs="Times New Roman"/>
        </w:rPr>
        <w:t xml:space="preserve">са Yahoo Finance-a </w:t>
      </w:r>
      <w:r w:rsidR="00756887" w:rsidRPr="00756887">
        <w:rPr>
          <w:rFonts w:ascii="Times New Roman" w:hAnsi="Times New Roman" w:cs="Times New Roman"/>
        </w:rPr>
        <w:t>десет значајних акција</w:t>
      </w:r>
      <w:r w:rsidR="007B30E7">
        <w:rPr>
          <w:rFonts w:ascii="Times New Roman" w:hAnsi="Times New Roman" w:cs="Times New Roman"/>
        </w:rPr>
        <w:t>.</w:t>
      </w:r>
      <w:r w:rsidR="00F57805">
        <w:rPr>
          <w:rFonts w:ascii="Times New Roman" w:hAnsi="Times New Roman" w:cs="Times New Roman"/>
        </w:rPr>
        <w:t xml:space="preserve"> </w:t>
      </w:r>
    </w:p>
    <w:p w14:paraId="21EB8B2F" w14:textId="0DFABAAF" w:rsidR="00D34882" w:rsidRDefault="0015302F" w:rsidP="004C0F60">
      <w:pPr>
        <w:jc w:val="both"/>
        <w:rPr>
          <w:rFonts w:ascii="Times New Roman" w:hAnsi="Times New Roman" w:cs="Times New Roman"/>
        </w:rPr>
      </w:pPr>
      <w:r>
        <w:rPr>
          <w:rFonts w:ascii="Times New Roman" w:hAnsi="Times New Roman" w:cs="Times New Roman"/>
        </w:rPr>
        <w:t xml:space="preserve">Спроведен је читав низ студија </w:t>
      </w:r>
      <w:r w:rsidR="00A44165">
        <w:rPr>
          <w:rFonts w:ascii="Times New Roman" w:hAnsi="Times New Roman" w:cs="Times New Roman"/>
        </w:rPr>
        <w:t>које истражују различите факторе и стратегије за</w:t>
      </w:r>
      <w:r w:rsidR="00B1622A">
        <w:rPr>
          <w:rFonts w:ascii="Times New Roman" w:hAnsi="Times New Roman" w:cs="Times New Roman"/>
        </w:rPr>
        <w:t xml:space="preserve"> </w:t>
      </w:r>
      <w:r>
        <w:rPr>
          <w:rFonts w:ascii="Times New Roman" w:hAnsi="Times New Roman" w:cs="Times New Roman"/>
        </w:rPr>
        <w:t xml:space="preserve">предвиђање приноса на </w:t>
      </w:r>
      <w:r w:rsidR="00A44165">
        <w:rPr>
          <w:rFonts w:ascii="Times New Roman" w:hAnsi="Times New Roman" w:cs="Times New Roman"/>
        </w:rPr>
        <w:t xml:space="preserve">акције </w:t>
      </w:r>
      <w:r>
        <w:rPr>
          <w:rFonts w:ascii="Times New Roman" w:hAnsi="Times New Roman" w:cs="Times New Roman"/>
        </w:rPr>
        <w:t>засноване на комбинацијама прогноза (</w:t>
      </w:r>
      <w:r w:rsidRPr="0015302F">
        <w:rPr>
          <w:rFonts w:ascii="Times New Roman" w:hAnsi="Times New Roman" w:cs="Times New Roman"/>
        </w:rPr>
        <w:t xml:space="preserve">Rapach </w:t>
      </w:r>
      <w:r>
        <w:rPr>
          <w:rFonts w:ascii="Times New Roman" w:hAnsi="Times New Roman" w:cs="Times New Roman"/>
        </w:rPr>
        <w:t>и други</w:t>
      </w:r>
      <w:r w:rsidRPr="0015302F">
        <w:rPr>
          <w:rFonts w:ascii="Times New Roman" w:hAnsi="Times New Roman" w:cs="Times New Roman"/>
        </w:rPr>
        <w:t>, 2010</w:t>
      </w:r>
      <w:r>
        <w:rPr>
          <w:rFonts w:ascii="Times New Roman" w:hAnsi="Times New Roman" w:cs="Times New Roman"/>
        </w:rPr>
        <w:t xml:space="preserve">), на индексима дифузије како би се пратила брзина ширења неке </w:t>
      </w:r>
      <w:r w:rsidRPr="00CB4EB7">
        <w:rPr>
          <w:rFonts w:ascii="Times New Roman" w:hAnsi="Times New Roman" w:cs="Times New Roman"/>
        </w:rPr>
        <w:t>п</w:t>
      </w:r>
      <w:r w:rsidRPr="00717376">
        <w:rPr>
          <w:rFonts w:ascii="Times New Roman" w:hAnsi="Times New Roman" w:cs="Times New Roman"/>
        </w:rPr>
        <w:t xml:space="preserve">ојаве (Ludvigson </w:t>
      </w:r>
      <w:r w:rsidR="00610EDA" w:rsidRPr="00225011">
        <w:rPr>
          <w:rFonts w:ascii="Times New Roman" w:hAnsi="Times New Roman" w:cs="Times New Roman"/>
        </w:rPr>
        <w:t>&amp;</w:t>
      </w:r>
      <w:r w:rsidRPr="00225011">
        <w:rPr>
          <w:rFonts w:ascii="Times New Roman" w:hAnsi="Times New Roman" w:cs="Times New Roman"/>
        </w:rPr>
        <w:t xml:space="preserve"> Ng, 2007; </w:t>
      </w:r>
      <w:r w:rsidRPr="004B4BD5">
        <w:rPr>
          <w:rFonts w:ascii="Times New Roman" w:hAnsi="Times New Roman" w:cs="Times New Roman"/>
        </w:rPr>
        <w:t>Kell</w:t>
      </w:r>
      <w:r w:rsidRPr="00DD06A4">
        <w:rPr>
          <w:rFonts w:ascii="Times New Roman" w:hAnsi="Times New Roman" w:cs="Times New Roman"/>
        </w:rPr>
        <w:t xml:space="preserve">y </w:t>
      </w:r>
      <w:r w:rsidR="00610EDA" w:rsidRPr="00FF3314">
        <w:rPr>
          <w:rFonts w:ascii="Times New Roman" w:hAnsi="Times New Roman" w:cs="Times New Roman"/>
        </w:rPr>
        <w:t>&amp;</w:t>
      </w:r>
      <w:r w:rsidRPr="00855858">
        <w:rPr>
          <w:rFonts w:ascii="Times New Roman" w:hAnsi="Times New Roman" w:cs="Times New Roman"/>
        </w:rPr>
        <w:t xml:space="preserve"> Pruitt, 2012; Neely </w:t>
      </w:r>
      <w:r w:rsidRPr="002F005B">
        <w:rPr>
          <w:rFonts w:ascii="Times New Roman" w:hAnsi="Times New Roman" w:cs="Times New Roman"/>
        </w:rPr>
        <w:t>и други</w:t>
      </w:r>
      <w:r w:rsidR="00EE2D46">
        <w:rPr>
          <w:rFonts w:ascii="Times New Roman" w:hAnsi="Times New Roman" w:cs="Times New Roman"/>
        </w:rPr>
        <w:t>, 2012), као и на системским променама, попут промене каматних стопа, рецесије, политичке нестабилности (Guidolin &amp; Timmermann, 2007; Henkel и други, 2011; Dangl &amp; Halling, 2012). Ang &amp; Bekaert (2007)</w:t>
      </w:r>
      <w:r w:rsidR="00EE2D46">
        <w:t xml:space="preserve"> </w:t>
      </w:r>
      <w:r w:rsidR="00EE2D46">
        <w:rPr>
          <w:rFonts w:ascii="Times New Roman" w:hAnsi="Times New Roman" w:cs="Times New Roman"/>
        </w:rPr>
        <w:t xml:space="preserve">су у свом истраживању пружили доказе у узорку о предвидљивости приноса акција за Француску, Немачку, Уједињено Краљевство и Сједињене Америчке Државе. Кембел је 2000. </w:t>
      </w:r>
      <w:r w:rsidR="005C3F7B">
        <w:rPr>
          <w:rFonts w:ascii="Times New Roman" w:hAnsi="Times New Roman" w:cs="Times New Roman"/>
        </w:rPr>
        <w:t>Г</w:t>
      </w:r>
      <w:r w:rsidR="00EE2D46">
        <w:rPr>
          <w:rFonts w:ascii="Times New Roman" w:hAnsi="Times New Roman" w:cs="Times New Roman"/>
        </w:rPr>
        <w:t>одине</w:t>
      </w:r>
      <w:r w:rsidR="005C3F7B">
        <w:rPr>
          <w:rFonts w:ascii="Times New Roman" w:hAnsi="Times New Roman" w:cs="Times New Roman"/>
          <w:lang w:val="sr-Cyrl-RS"/>
        </w:rPr>
        <w:t xml:space="preserve"> у свом раду</w:t>
      </w:r>
      <w:r w:rsidR="00EE2D46">
        <w:rPr>
          <w:rFonts w:ascii="Times New Roman" w:hAnsi="Times New Roman" w:cs="Times New Roman"/>
        </w:rPr>
        <w:t xml:space="preserve"> истакао да већина економиста верује да се приноси на акцијама могу донекле предвидети на основу</w:t>
      </w:r>
      <w:r w:rsidR="00313EDD">
        <w:rPr>
          <w:rFonts w:ascii="Times New Roman" w:hAnsi="Times New Roman" w:cs="Times New Roman"/>
        </w:rPr>
        <w:t xml:space="preserve"> историјских података, упркос значајним економетријским изазовима.</w:t>
      </w:r>
    </w:p>
    <w:p w14:paraId="7C7F9ACE" w14:textId="23F98FD0" w:rsidR="00340483" w:rsidRPr="001E4E7B" w:rsidRDefault="00340483" w:rsidP="004C0F60">
      <w:pPr>
        <w:jc w:val="both"/>
        <w:rPr>
          <w:rFonts w:ascii="Times New Roman" w:hAnsi="Times New Roman" w:cs="Times New Roman"/>
        </w:rPr>
      </w:pPr>
      <w:r>
        <w:rPr>
          <w:rFonts w:ascii="Times New Roman" w:hAnsi="Times New Roman" w:cs="Times New Roman"/>
        </w:rPr>
        <w:lastRenderedPageBreak/>
        <w:t xml:space="preserve">Carol </w:t>
      </w:r>
      <w:r w:rsidR="008B1231">
        <w:rPr>
          <w:rFonts w:ascii="Times New Roman" w:hAnsi="Times New Roman" w:cs="Times New Roman"/>
        </w:rPr>
        <w:t>(20</w:t>
      </w:r>
      <w:r w:rsidR="00191884">
        <w:rPr>
          <w:rFonts w:ascii="Times New Roman" w:hAnsi="Times New Roman" w:cs="Times New Roman"/>
        </w:rPr>
        <w:t>08</w:t>
      </w:r>
      <w:r w:rsidR="008B1231">
        <w:rPr>
          <w:rFonts w:ascii="Times New Roman" w:hAnsi="Times New Roman" w:cs="Times New Roman"/>
        </w:rPr>
        <w:t>) је у својим студијама случајева примењивала вишеструку линеарну регресију да би објаснила промене у цени акција аустралијске корпорације BHP Billiton Limited Group која се бави рударством, ископовањем и прерадом минералних ресурса</w:t>
      </w:r>
      <w:r w:rsidR="001D4BFA">
        <w:rPr>
          <w:rFonts w:ascii="Times New Roman" w:hAnsi="Times New Roman" w:cs="Times New Roman"/>
        </w:rPr>
        <w:t>. Кроз студију случаја је доказано да су индекс злата и индекс нафте значајне детерминанте промена у цени акција Billiton, с тим да је индекс нафте много већи и значајнији</w:t>
      </w:r>
      <w:r w:rsidR="008E558D">
        <w:rPr>
          <w:rFonts w:ascii="Times New Roman" w:hAnsi="Times New Roman" w:cs="Times New Roman"/>
        </w:rPr>
        <w:t>, што се може оправдати чињеницом да се компанија, између осталог, бави експлоатацијом и продајом нафтних деривата</w:t>
      </w:r>
      <w:r w:rsidR="001D4BFA">
        <w:rPr>
          <w:rFonts w:ascii="Times New Roman" w:hAnsi="Times New Roman" w:cs="Times New Roman"/>
        </w:rPr>
        <w:t>.</w:t>
      </w:r>
      <w:r w:rsidR="0087060B">
        <w:rPr>
          <w:rFonts w:ascii="Times New Roman" w:hAnsi="Times New Roman" w:cs="Times New Roman"/>
        </w:rPr>
        <w:t xml:space="preserve"> Коришћене су десетогодишње временске серије.</w:t>
      </w:r>
      <w:r w:rsidR="0059676C">
        <w:rPr>
          <w:rFonts w:ascii="Times New Roman" w:hAnsi="Times New Roman" w:cs="Times New Roman"/>
        </w:rPr>
        <w:t xml:space="preserve"> Такође, у другој студији случаја је покушано да се идентификују фактори који утичу на кретање приноса Caterpillar-ових акција, америчке компаније која се приоритетно бави производњом и продајом тешке механизације. Анализа је спроведена на петогодишњим временским серијама дневних приноса. </w:t>
      </w:r>
      <w:bookmarkStart w:id="6" w:name="_Hlk162459367"/>
      <w:r w:rsidR="0059676C">
        <w:rPr>
          <w:rFonts w:ascii="Times New Roman" w:hAnsi="Times New Roman" w:cs="Times New Roman"/>
        </w:rPr>
        <w:t>Резултати су показали да на кретање приноса CAT-ових акција, поред тржишног индекса SPY, утиче кретање цене бакра (приноси акција SCCO) и челика (приноси акција STLD)</w:t>
      </w:r>
      <w:r w:rsidR="006B47A4">
        <w:rPr>
          <w:rFonts w:ascii="Times New Roman" w:hAnsi="Times New Roman" w:cs="Times New Roman"/>
        </w:rPr>
        <w:t>, док нафта и злато не утичу</w:t>
      </w:r>
      <w:r w:rsidR="0059676C">
        <w:rPr>
          <w:rFonts w:ascii="Times New Roman" w:hAnsi="Times New Roman" w:cs="Times New Roman"/>
        </w:rPr>
        <w:t>.</w:t>
      </w:r>
      <w:r w:rsidR="006B47A4">
        <w:rPr>
          <w:rFonts w:ascii="Times New Roman" w:hAnsi="Times New Roman" w:cs="Times New Roman"/>
        </w:rPr>
        <w:t xml:space="preserve"> С тим у вези, у нашем раду ћемо практично поновити студију случаја на примеру компаније Caterpillar на новијим петогодишњим временским серијама. </w:t>
      </w:r>
      <w:bookmarkStart w:id="7" w:name="_Hlk162460716"/>
      <w:r w:rsidR="006B47A4">
        <w:rPr>
          <w:rFonts w:ascii="Times New Roman" w:hAnsi="Times New Roman" w:cs="Times New Roman"/>
        </w:rPr>
        <w:t>Поред горенаведених детерминанти, у модел ћемо укључити индекс специфичан за грађевински сектор коме компанија припада (PKB ETF фонд) и индекс волатилности као системске варијабле, као и друге значајне сировине које Caterpillar нужно користи у производњи.</w:t>
      </w:r>
    </w:p>
    <w:bookmarkEnd w:id="6"/>
    <w:bookmarkEnd w:id="7"/>
    <w:p w14:paraId="4662CDBE" w14:textId="77777777" w:rsidR="008C62E7" w:rsidRDefault="00D401AE" w:rsidP="00CD581F">
      <w:pPr>
        <w:jc w:val="both"/>
        <w:rPr>
          <w:rFonts w:ascii="Times New Roman" w:hAnsi="Times New Roman" w:cs="Times New Roman"/>
        </w:rPr>
      </w:pPr>
      <w:r w:rsidRPr="00D401AE">
        <w:rPr>
          <w:rFonts w:ascii="Times New Roman" w:hAnsi="Times New Roman" w:cs="Times New Roman"/>
        </w:rPr>
        <w:t>Из прегледа литературе о детерминантама цене акција, може се приметити да је већина студија користила или временске серије или податке о пресеку. Такође је било покушаја да се идентификују детерминанте цене акција коришћењем панел података.</w:t>
      </w:r>
    </w:p>
    <w:p w14:paraId="577BC412" w14:textId="77777777" w:rsidR="002778F9" w:rsidRPr="00D401AE" w:rsidRDefault="002778F9" w:rsidP="00CD581F">
      <w:pPr>
        <w:jc w:val="both"/>
        <w:rPr>
          <w:rFonts w:ascii="Times New Roman" w:hAnsi="Times New Roman" w:cs="Times New Roman"/>
        </w:rPr>
      </w:pPr>
    </w:p>
    <w:p w14:paraId="421DBC68" w14:textId="77777777" w:rsidR="00DE2AC5" w:rsidRDefault="00CF7D36" w:rsidP="00D842FD">
      <w:pPr>
        <w:jc w:val="both"/>
        <w:rPr>
          <w:rFonts w:ascii="Times New Roman" w:hAnsi="Times New Roman" w:cs="Times New Roman"/>
          <w:b/>
          <w:bCs/>
        </w:rPr>
      </w:pPr>
      <w:r>
        <w:rPr>
          <w:rFonts w:ascii="Times New Roman" w:hAnsi="Times New Roman" w:cs="Times New Roman"/>
          <w:b/>
          <w:bCs/>
        </w:rPr>
        <w:t>М</w:t>
      </w:r>
      <w:r w:rsidR="00DE2AC5" w:rsidRPr="00FA731A">
        <w:rPr>
          <w:rFonts w:ascii="Times New Roman" w:hAnsi="Times New Roman" w:cs="Times New Roman"/>
          <w:b/>
          <w:bCs/>
        </w:rPr>
        <w:t>етодологија истраживања</w:t>
      </w:r>
    </w:p>
    <w:p w14:paraId="09D1C1C5" w14:textId="77777777" w:rsidR="00EB00CF" w:rsidRPr="00FA731A" w:rsidRDefault="00EB00CF" w:rsidP="00D842FD">
      <w:pPr>
        <w:jc w:val="both"/>
        <w:rPr>
          <w:rFonts w:ascii="Times New Roman" w:hAnsi="Times New Roman" w:cs="Times New Roman"/>
        </w:rPr>
      </w:pPr>
      <w:r w:rsidRPr="00FA731A">
        <w:rPr>
          <w:rFonts w:ascii="Times New Roman" w:hAnsi="Times New Roman" w:cs="Times New Roman"/>
        </w:rPr>
        <w:t xml:space="preserve">Историјски подаци за берзанске индексе и друге компаније се могу преузети са сајта Yahoo Finance који пружа могућност преузимања ових података између било која два датума. Да бисмо предвидели кретање приноса акција </w:t>
      </w:r>
      <w:r w:rsidR="00627E54" w:rsidRPr="00627E54">
        <w:rPr>
          <w:rFonts w:ascii="Times New Roman" w:hAnsi="Times New Roman" w:cs="Times New Roman"/>
        </w:rPr>
        <w:t>Caterpillar</w:t>
      </w:r>
      <w:r w:rsidRPr="00FA731A">
        <w:rPr>
          <w:rFonts w:ascii="Times New Roman" w:hAnsi="Times New Roman" w:cs="Times New Roman"/>
        </w:rPr>
        <w:t>-a преузећемо дневне податке о ценама акција за петогодишњни временски период, од 22.2.2019. године до 22.2.202</w:t>
      </w:r>
      <w:r w:rsidR="00EA49DF">
        <w:rPr>
          <w:rFonts w:ascii="Times New Roman" w:hAnsi="Times New Roman" w:cs="Times New Roman"/>
        </w:rPr>
        <w:t>4</w:t>
      </w:r>
      <w:r w:rsidRPr="00FA731A">
        <w:rPr>
          <w:rFonts w:ascii="Times New Roman" w:hAnsi="Times New Roman" w:cs="Times New Roman"/>
        </w:rPr>
        <w:t xml:space="preserve">. године. Пошто у истраживању желимо да испитамо </w:t>
      </w:r>
      <w:r w:rsidR="00F34120">
        <w:rPr>
          <w:rFonts w:ascii="Times New Roman" w:hAnsi="Times New Roman" w:cs="Times New Roman"/>
        </w:rPr>
        <w:t xml:space="preserve">утицај </w:t>
      </w:r>
      <w:r w:rsidR="00565166">
        <w:rPr>
          <w:rFonts w:ascii="Times New Roman" w:hAnsi="Times New Roman" w:cs="Times New Roman"/>
        </w:rPr>
        <w:t xml:space="preserve">берзанских индекса и берзанских цена изабраних сировина </w:t>
      </w:r>
      <w:r w:rsidR="00F34120">
        <w:rPr>
          <w:rFonts w:ascii="Times New Roman" w:hAnsi="Times New Roman" w:cs="Times New Roman"/>
        </w:rPr>
        <w:t xml:space="preserve">на </w:t>
      </w:r>
      <w:r w:rsidRPr="00FA731A">
        <w:rPr>
          <w:rFonts w:ascii="Times New Roman" w:hAnsi="Times New Roman" w:cs="Times New Roman"/>
        </w:rPr>
        <w:t>приносе Cate</w:t>
      </w:r>
      <w:r w:rsidR="00627E54">
        <w:rPr>
          <w:rFonts w:ascii="Times New Roman" w:hAnsi="Times New Roman" w:cs="Times New Roman"/>
        </w:rPr>
        <w:t>r</w:t>
      </w:r>
      <w:r w:rsidRPr="00FA731A">
        <w:rPr>
          <w:rFonts w:ascii="Times New Roman" w:hAnsi="Times New Roman" w:cs="Times New Roman"/>
        </w:rPr>
        <w:t>pillar-a на основу одређених независних</w:t>
      </w:r>
      <w:r w:rsidR="00F34120">
        <w:rPr>
          <w:rFonts w:ascii="Times New Roman" w:hAnsi="Times New Roman" w:cs="Times New Roman"/>
        </w:rPr>
        <w:t>,</w:t>
      </w:r>
      <w:r w:rsidRPr="00FA731A">
        <w:rPr>
          <w:rFonts w:ascii="Times New Roman" w:hAnsi="Times New Roman" w:cs="Times New Roman"/>
        </w:rPr>
        <w:t xml:space="preserve"> </w:t>
      </w:r>
      <w:r w:rsidR="00E565BF" w:rsidRPr="00FA731A">
        <w:rPr>
          <w:rFonts w:ascii="Times New Roman" w:hAnsi="Times New Roman" w:cs="Times New Roman"/>
        </w:rPr>
        <w:t>користићемо истоветни временски интервал за преузимање података.</w:t>
      </w:r>
    </w:p>
    <w:p w14:paraId="4F0349D4" w14:textId="74FAE658" w:rsidR="001C75BC" w:rsidRPr="00FA731A" w:rsidRDefault="001C75BC" w:rsidP="00D842FD">
      <w:pPr>
        <w:jc w:val="both"/>
        <w:rPr>
          <w:rFonts w:ascii="Times New Roman" w:hAnsi="Times New Roman" w:cs="Times New Roman"/>
        </w:rPr>
      </w:pPr>
      <w:r w:rsidRPr="00FA731A">
        <w:rPr>
          <w:rFonts w:ascii="Times New Roman" w:hAnsi="Times New Roman" w:cs="Times New Roman"/>
        </w:rPr>
        <w:t xml:space="preserve">Caterpillar (тикер CAT) је америчка мултинацонална компанија која дизајнира, развија, производи и продаје тешку механизацију (утовариваче, виљушкаре, камионе), грађевинску опрему (багере, ваљке…), дизел моторе, турбине, финансијске производе и осигурање купцима путем светске дилерске мреже. Основана је 1925. године и током година је постала једна од најпознатијих и највећих </w:t>
      </w:r>
      <w:r w:rsidR="00CE4FBB">
        <w:rPr>
          <w:rFonts w:ascii="Times New Roman" w:hAnsi="Times New Roman" w:cs="Times New Roman"/>
        </w:rPr>
        <w:t xml:space="preserve">светских </w:t>
      </w:r>
      <w:r w:rsidRPr="00FA731A">
        <w:rPr>
          <w:rFonts w:ascii="Times New Roman" w:hAnsi="Times New Roman" w:cs="Times New Roman"/>
        </w:rPr>
        <w:t xml:space="preserve">компанија у </w:t>
      </w:r>
      <w:r w:rsidR="00CE4FBB" w:rsidRPr="00CE4FBB">
        <w:rPr>
          <w:rFonts w:ascii="Times New Roman" w:hAnsi="Times New Roman" w:cs="Times New Roman"/>
        </w:rPr>
        <w:t>три примарна сегмента – грађевинску индустрију, индустрију ресурса и енергетику и транспорт</w:t>
      </w:r>
      <w:r w:rsidR="00670560">
        <w:rPr>
          <w:rFonts w:ascii="Times New Roman" w:hAnsi="Times New Roman" w:cs="Times New Roman"/>
        </w:rPr>
        <w:t>. Њихова заступљеност је без конкуренције на тржишту – присутни су на преко 100 тржишта широм света.</w:t>
      </w:r>
    </w:p>
    <w:p w14:paraId="4C342ABF" w14:textId="77777777" w:rsidR="00B61164" w:rsidRDefault="001C75BC" w:rsidP="00455E0E">
      <w:pPr>
        <w:jc w:val="both"/>
      </w:pPr>
      <w:r w:rsidRPr="00FA731A">
        <w:rPr>
          <w:rFonts w:ascii="Times New Roman" w:hAnsi="Times New Roman" w:cs="Times New Roman"/>
        </w:rPr>
        <w:t xml:space="preserve">У </w:t>
      </w:r>
      <w:r w:rsidR="00AA5965">
        <w:rPr>
          <w:rFonts w:ascii="Times New Roman" w:hAnsi="Times New Roman" w:cs="Times New Roman"/>
        </w:rPr>
        <w:t>овом раду</w:t>
      </w:r>
      <w:r w:rsidRPr="00FA731A">
        <w:rPr>
          <w:rFonts w:ascii="Times New Roman" w:hAnsi="Times New Roman" w:cs="Times New Roman"/>
        </w:rPr>
        <w:t xml:space="preserve"> ћемо покушати да утврдимо факторе који утичу на приносе CAT акција.</w:t>
      </w:r>
      <w:r w:rsidR="00133C8D" w:rsidRPr="00133C8D">
        <w:t xml:space="preserve"> </w:t>
      </w:r>
    </w:p>
    <w:p w14:paraId="6EBF7881" w14:textId="77777777" w:rsidR="0081106C" w:rsidRDefault="00133C8D" w:rsidP="0081106C">
      <w:pPr>
        <w:jc w:val="both"/>
        <w:rPr>
          <w:rFonts w:ascii="Times New Roman" w:hAnsi="Times New Roman" w:cs="Times New Roman"/>
        </w:rPr>
      </w:pPr>
      <w:r w:rsidRPr="00133C8D">
        <w:rPr>
          <w:rFonts w:ascii="Times New Roman" w:hAnsi="Times New Roman" w:cs="Times New Roman"/>
        </w:rPr>
        <w:t>Како је примена математичких и статистичких модела повезана са великим подацима, морамо користити адекватне моделе за аналитику таквих података. Data-mining, или рударење података, представља процес истраживања и анализе великих количина података ради откривања одређених трендова, које се даље могу користити за доношење пословних од</w:t>
      </w:r>
      <w:r w:rsidR="00195883">
        <w:rPr>
          <w:rFonts w:ascii="Times New Roman" w:hAnsi="Times New Roman" w:cs="Times New Roman"/>
        </w:rPr>
        <w:t>лука</w:t>
      </w:r>
      <w:r w:rsidRPr="00133C8D">
        <w:rPr>
          <w:rFonts w:ascii="Times New Roman" w:hAnsi="Times New Roman" w:cs="Times New Roman"/>
        </w:rPr>
        <w:t>, унапређење перфор</w:t>
      </w:r>
      <w:r w:rsidR="008652A6">
        <w:rPr>
          <w:rFonts w:ascii="Times New Roman" w:hAnsi="Times New Roman" w:cs="Times New Roman"/>
        </w:rPr>
        <w:t>м</w:t>
      </w:r>
      <w:r w:rsidRPr="00133C8D">
        <w:rPr>
          <w:rFonts w:ascii="Times New Roman" w:hAnsi="Times New Roman" w:cs="Times New Roman"/>
        </w:rPr>
        <w:t>анс</w:t>
      </w:r>
      <w:r w:rsidR="00195883">
        <w:rPr>
          <w:rFonts w:ascii="Times New Roman" w:hAnsi="Times New Roman" w:cs="Times New Roman"/>
        </w:rPr>
        <w:t>и</w:t>
      </w:r>
      <w:r w:rsidR="001319C2">
        <w:rPr>
          <w:rFonts w:ascii="Times New Roman" w:hAnsi="Times New Roman" w:cs="Times New Roman"/>
        </w:rPr>
        <w:t>, побољшање ефикасности пословања</w:t>
      </w:r>
      <w:r w:rsidR="00195883">
        <w:rPr>
          <w:rFonts w:ascii="Times New Roman" w:hAnsi="Times New Roman" w:cs="Times New Roman"/>
        </w:rPr>
        <w:t xml:space="preserve"> и </w:t>
      </w:r>
      <w:r w:rsidR="001319C2">
        <w:rPr>
          <w:rFonts w:ascii="Times New Roman" w:hAnsi="Times New Roman" w:cs="Times New Roman"/>
        </w:rPr>
        <w:t>тако даље</w:t>
      </w:r>
      <w:r w:rsidR="00195883">
        <w:rPr>
          <w:rFonts w:ascii="Times New Roman" w:hAnsi="Times New Roman" w:cs="Times New Roman"/>
        </w:rPr>
        <w:t>.</w:t>
      </w:r>
      <w:r w:rsidRPr="00133C8D">
        <w:rPr>
          <w:rFonts w:ascii="Times New Roman" w:hAnsi="Times New Roman" w:cs="Times New Roman"/>
        </w:rPr>
        <w:t xml:space="preserve"> </w:t>
      </w:r>
      <w:r w:rsidR="0081106C">
        <w:rPr>
          <w:rFonts w:ascii="Times New Roman" w:hAnsi="Times New Roman" w:cs="Times New Roman"/>
        </w:rPr>
        <w:t xml:space="preserve">Зависна варијабла је она коју желимо да измеримо, анализирамо, односно предвидимо и која зависи од измена независних у истраживању. С друге стране, независна варијабла (предикторна, узрочна) је она која се мења и која би требало да покаже да ли постоји њен ефекат на зависну. За анализу односа између временских променљивих и предвиђање будућих вредности се користи линеарна регресија. Проста линеарна регресија је статистичка метода која се користи за анализу односа између две </w:t>
      </w:r>
      <w:r w:rsidR="0081106C">
        <w:rPr>
          <w:rFonts w:ascii="Times New Roman" w:hAnsi="Times New Roman" w:cs="Times New Roman"/>
        </w:rPr>
        <w:lastRenderedPageBreak/>
        <w:t>променљиве, од којих се једна сматра независном, а друга зависном променљивом. Циљ је разумети како се промене у независној променљивој одражавају на промене у зависној променљивој. Једначина просте линеарне регресије има следећи облик:</w:t>
      </w:r>
    </w:p>
    <w:p w14:paraId="427EEC17" w14:textId="77777777" w:rsidR="0081106C" w:rsidRPr="00F7203C" w:rsidRDefault="0081106C" w:rsidP="0081106C">
      <w:pPr>
        <w:spacing w:before="240" w:after="240"/>
        <w:jc w:val="center"/>
        <w:rPr>
          <w:rFonts w:ascii="Times New Roman" w:hAnsi="Times New Roman" w:cs="Times New Roman"/>
        </w:rPr>
      </w:pPr>
      <w:r w:rsidRPr="00F7203C">
        <w:rPr>
          <w:rFonts w:ascii="Cambria Math" w:hAnsi="Cambria Math" w:cs="Cambria Math"/>
        </w:rPr>
        <w:t>𝑌</w:t>
      </w:r>
      <w:r w:rsidRPr="00F7203C">
        <w:rPr>
          <w:rFonts w:ascii="Times New Roman" w:hAnsi="Times New Roman" w:cs="Times New Roman"/>
        </w:rPr>
        <w:t>=</w:t>
      </w:r>
      <w:r w:rsidRPr="00F7203C">
        <w:rPr>
          <w:rFonts w:ascii="Cambria Math" w:hAnsi="Cambria Math" w:cs="Cambria Math"/>
        </w:rPr>
        <w:t>𝛼</w:t>
      </w:r>
      <w:r w:rsidRPr="00F7203C">
        <w:rPr>
          <w:rFonts w:ascii="Times New Roman" w:hAnsi="Times New Roman" w:cs="Times New Roman"/>
        </w:rPr>
        <w:t>+</w:t>
      </w:r>
      <w:r w:rsidRPr="00F7203C">
        <w:rPr>
          <w:rFonts w:ascii="Cambria Math" w:hAnsi="Cambria Math" w:cs="Cambria Math"/>
        </w:rPr>
        <w:t>𝛽𝑋</w:t>
      </w:r>
      <w:r w:rsidRPr="00495060">
        <w:rPr>
          <w:rFonts w:ascii="Times New Roman" w:hAnsi="Times New Roman" w:cs="Times New Roman"/>
          <w:vertAlign w:val="subscript"/>
        </w:rPr>
        <w:t>t</w:t>
      </w:r>
      <w:r w:rsidRPr="00F7203C">
        <w:rPr>
          <w:rFonts w:ascii="Times New Roman" w:hAnsi="Times New Roman" w:cs="Times New Roman"/>
        </w:rPr>
        <w:t>+</w:t>
      </w:r>
      <w:r w:rsidRPr="00F7203C">
        <w:rPr>
          <w:rFonts w:ascii="Cambria Math" w:hAnsi="Cambria Math" w:cs="Cambria Math"/>
        </w:rPr>
        <w:t>𝜀</w:t>
      </w:r>
      <w:r w:rsidRPr="00495060">
        <w:rPr>
          <w:rFonts w:ascii="Times New Roman" w:hAnsi="Times New Roman" w:cs="Times New Roman"/>
          <w:vertAlign w:val="subscript"/>
        </w:rPr>
        <w:t>t</w:t>
      </w:r>
      <w:r w:rsidRPr="00F7203C">
        <w:rPr>
          <w:rFonts w:ascii="Times New Roman" w:hAnsi="Times New Roman" w:cs="Times New Roman"/>
        </w:rPr>
        <w:t>,</w:t>
      </w:r>
      <w:r w:rsidRPr="00495060">
        <w:rPr>
          <w:rFonts w:ascii="Times New Roman" w:hAnsi="Times New Roman" w:cs="Times New Roman"/>
        </w:rPr>
        <w:tab/>
        <w:t xml:space="preserve"> t=1,…,n</w:t>
      </w:r>
    </w:p>
    <w:p w14:paraId="0858CE56" w14:textId="759432B2" w:rsidR="00F7203C" w:rsidRPr="00F7203C" w:rsidRDefault="0081106C" w:rsidP="00F34120">
      <w:pPr>
        <w:jc w:val="both"/>
        <w:rPr>
          <w:rFonts w:ascii="Times New Roman" w:hAnsi="Times New Roman" w:cs="Times New Roman"/>
        </w:rPr>
      </w:pPr>
      <w:r w:rsidRPr="00495060">
        <w:rPr>
          <w:rFonts w:ascii="Times New Roman" w:hAnsi="Times New Roman" w:cs="Times New Roman"/>
        </w:rPr>
        <w:t xml:space="preserve">Где је n дужина временске серије </w:t>
      </w:r>
      <w:r w:rsidRPr="00495060">
        <w:rPr>
          <w:rFonts w:ascii="Times New Roman" w:hAnsi="Times New Roman" w:cs="Times New Roman"/>
          <w:i/>
          <w:iCs/>
        </w:rPr>
        <w:t xml:space="preserve">Y, </w:t>
      </w:r>
      <w:r w:rsidRPr="00495060">
        <w:rPr>
          <w:rFonts w:ascii="Times New Roman" w:hAnsi="Times New Roman" w:cs="Times New Roman"/>
        </w:rPr>
        <w:t xml:space="preserve">a </w:t>
      </w:r>
      <w:r w:rsidRPr="00495060">
        <w:rPr>
          <w:rFonts w:ascii="Cambria Math" w:hAnsi="Cambria Math" w:cs="Cambria Math"/>
        </w:rPr>
        <w:t>𝜀𝑡</w:t>
      </w:r>
      <w:r w:rsidRPr="00495060">
        <w:rPr>
          <w:rFonts w:ascii="Times New Roman" w:hAnsi="Times New Roman" w:cs="Times New Roman"/>
        </w:rPr>
        <w:t xml:space="preserve"> је грешка модела, која приказује разлику између стварних вредности зависне променљиве и вредности које се предвиђају. Ова разлика указује на непредвиђену варијацију у зависној променљивој која није објашњена независном променљивом. У идеалном случају, желимо да грешка буде што мања. У статистици грешку </w:t>
      </w:r>
      <w:r w:rsidRPr="00C4306E">
        <w:rPr>
          <w:rFonts w:ascii="Times New Roman" w:hAnsi="Times New Roman" w:cs="Times New Roman"/>
        </w:rPr>
        <w:t>често називамо резидуалом</w:t>
      </w:r>
      <w:r>
        <w:rPr>
          <w:rFonts w:ascii="Times New Roman" w:hAnsi="Times New Roman" w:cs="Times New Roman"/>
        </w:rPr>
        <w:t>.</w:t>
      </w:r>
      <w:r w:rsidRPr="00C4306E">
        <w:rPr>
          <w:rFonts w:ascii="Times New Roman" w:hAnsi="Times New Roman" w:cs="Times New Roman"/>
        </w:rPr>
        <w:t xml:space="preserve"> јер резидуали укључују све променљиве које нису део модела. </w:t>
      </w:r>
      <w:r w:rsidRPr="00C4306E">
        <w:rPr>
          <w:rFonts w:ascii="Cambria Math" w:hAnsi="Cambria Math" w:cs="Cambria Math"/>
        </w:rPr>
        <w:t>𝛼</w:t>
      </w:r>
      <w:r w:rsidRPr="00C4306E">
        <w:rPr>
          <w:rFonts w:ascii="Times New Roman" w:hAnsi="Times New Roman" w:cs="Times New Roman"/>
        </w:rPr>
        <w:t xml:space="preserve"> је константа, односно пресек y-осе, </w:t>
      </w:r>
      <w:r w:rsidRPr="00C4306E">
        <w:rPr>
          <w:rFonts w:ascii="Cambria Math" w:hAnsi="Cambria Math" w:cs="Cambria Math"/>
        </w:rPr>
        <w:t>𝛽</w:t>
      </w:r>
      <w:r w:rsidRPr="00C4306E">
        <w:rPr>
          <w:rFonts w:ascii="Times New Roman" w:hAnsi="Times New Roman" w:cs="Times New Roman"/>
        </w:rPr>
        <w:t xml:space="preserve"> означава коефицијент регресије независне променљиве </w:t>
      </w:r>
      <w:r w:rsidRPr="00C4306E">
        <w:rPr>
          <w:rFonts w:ascii="Cambria Math" w:hAnsi="Cambria Math" w:cs="Cambria Math"/>
        </w:rPr>
        <w:t>𝑋</w:t>
      </w:r>
      <w:r w:rsidRPr="00C4306E">
        <w:rPr>
          <w:rFonts w:ascii="Times New Roman" w:hAnsi="Times New Roman" w:cs="Times New Roman"/>
          <w:vertAlign w:val="subscript"/>
        </w:rPr>
        <w:t>t</w:t>
      </w:r>
      <w:r w:rsidRPr="00C4306E">
        <w:rPr>
          <w:rFonts w:ascii="Times New Roman" w:hAnsi="Times New Roman" w:cs="Times New Roman"/>
        </w:rPr>
        <w:t>. Претпоставка линеарне регресије јесте да су коефицијенти α и β добијени методом најмањих квадрата (OLS-ordinary least squares) како би се минимизовала сума квадрата разлика између стварних вредности и вредности предвиђених регресионом једначином</w:t>
      </w:r>
      <w:r>
        <w:rPr>
          <w:rFonts w:ascii="Times New Roman" w:hAnsi="Times New Roman" w:cs="Times New Roman"/>
        </w:rPr>
        <w:t xml:space="preserve"> (Drenovak, 2021)</w:t>
      </w:r>
      <w:r w:rsidRPr="00C4306E">
        <w:rPr>
          <w:rFonts w:ascii="Times New Roman" w:hAnsi="Times New Roman" w:cs="Times New Roman"/>
        </w:rPr>
        <w:t xml:space="preserve">. Коришћење методе најмањих квадрата у линеарној регресији помаже у проналажењу оптималних параметара модела који најбоље апроксимирају реалне податке. </w:t>
      </w:r>
    </w:p>
    <w:p w14:paraId="0EBAAB03" w14:textId="77777777" w:rsidR="00DD56F9" w:rsidRPr="00B61164" w:rsidRDefault="006006CD" w:rsidP="00DD56F9">
      <w:pPr>
        <w:jc w:val="both"/>
      </w:pPr>
      <w:r w:rsidRPr="006006CD">
        <w:rPr>
          <w:rFonts w:ascii="Times New Roman" w:hAnsi="Times New Roman" w:cs="Times New Roman"/>
        </w:rPr>
        <w:t>Будући да ћемо у нашем примеру имати једну зависну варијаблу и више независних, користићемо вишеструку линеарну регресију.</w:t>
      </w:r>
      <w:r w:rsidR="00455E0E">
        <w:rPr>
          <w:rFonts w:ascii="Times New Roman" w:hAnsi="Times New Roman" w:cs="Times New Roman"/>
        </w:rPr>
        <w:t xml:space="preserve"> </w:t>
      </w:r>
      <w:r w:rsidR="00455E0E" w:rsidRPr="00455E0E">
        <w:rPr>
          <w:rFonts w:ascii="Times New Roman" w:hAnsi="Times New Roman" w:cs="Times New Roman"/>
        </w:rPr>
        <w:t>Због утицаја бројних фактора, вишеструка линеарна регресија се истиче као ефикасна статистичка техника у анализама тржишта акција</w:t>
      </w:r>
      <w:r w:rsidR="0004450B">
        <w:rPr>
          <w:rFonts w:ascii="Times New Roman" w:hAnsi="Times New Roman" w:cs="Times New Roman"/>
        </w:rPr>
        <w:t xml:space="preserve"> (</w:t>
      </w:r>
      <w:r w:rsidR="0004450B" w:rsidRPr="0004450B">
        <w:rPr>
          <w:rFonts w:ascii="Times New Roman" w:hAnsi="Times New Roman" w:cs="Times New Roman"/>
        </w:rPr>
        <w:t>Shrut S., Bhavya S., Niket S., Vyom U.</w:t>
      </w:r>
      <w:r w:rsidR="0004450B">
        <w:rPr>
          <w:rFonts w:ascii="Times New Roman" w:hAnsi="Times New Roman" w:cs="Times New Roman"/>
        </w:rPr>
        <w:t xml:space="preserve"> &amp; </w:t>
      </w:r>
      <w:r w:rsidR="0004450B" w:rsidRPr="0004450B">
        <w:rPr>
          <w:rFonts w:ascii="Times New Roman" w:hAnsi="Times New Roman" w:cs="Times New Roman"/>
        </w:rPr>
        <w:t>Pratik K</w:t>
      </w:r>
      <w:r w:rsidR="0004450B">
        <w:rPr>
          <w:rFonts w:ascii="Times New Roman" w:hAnsi="Times New Roman" w:cs="Times New Roman"/>
        </w:rPr>
        <w:t xml:space="preserve">, </w:t>
      </w:r>
      <w:r w:rsidR="0004450B" w:rsidRPr="0004450B">
        <w:rPr>
          <w:rFonts w:ascii="Times New Roman" w:hAnsi="Times New Roman" w:cs="Times New Roman"/>
        </w:rPr>
        <w:t>2018).</w:t>
      </w:r>
      <w:r w:rsidR="00455E0E" w:rsidRPr="00455E0E">
        <w:rPr>
          <w:rFonts w:ascii="Times New Roman" w:hAnsi="Times New Roman" w:cs="Times New Roman"/>
        </w:rPr>
        <w:t xml:space="preserve"> </w:t>
      </w:r>
      <w:r w:rsidR="00DD56F9" w:rsidRPr="00455E0E">
        <w:rPr>
          <w:rFonts w:ascii="Times New Roman" w:hAnsi="Times New Roman" w:cs="Times New Roman"/>
        </w:rPr>
        <w:t xml:space="preserve">Она омогућава укључивање и анализу утицаја вишеструких варијабли на кретање тржишта. </w:t>
      </w:r>
      <w:r w:rsidR="00DD56F9" w:rsidRPr="006006CD">
        <w:rPr>
          <w:rFonts w:ascii="Times New Roman" w:hAnsi="Times New Roman" w:cs="Times New Roman"/>
        </w:rPr>
        <w:t xml:space="preserve">Вишеструка линеарна регресија нам показује: </w:t>
      </w:r>
    </w:p>
    <w:p w14:paraId="2A3F48A4" w14:textId="77777777" w:rsidR="00DD56F9" w:rsidRPr="006006CD" w:rsidRDefault="00DD56F9" w:rsidP="00DD56F9">
      <w:pPr>
        <w:pStyle w:val="ListParagraph"/>
        <w:numPr>
          <w:ilvl w:val="0"/>
          <w:numId w:val="3"/>
        </w:numPr>
        <w:jc w:val="both"/>
        <w:rPr>
          <w:rFonts w:ascii="Times New Roman" w:hAnsi="Times New Roman" w:cs="Times New Roman"/>
        </w:rPr>
      </w:pPr>
      <w:r w:rsidRPr="006006CD">
        <w:rPr>
          <w:rFonts w:ascii="Times New Roman" w:hAnsi="Times New Roman" w:cs="Times New Roman"/>
        </w:rPr>
        <w:t>утицај независних променљивих на зависну варијаблу. Коефицијенти регресије показују колико се у просеку зависна променљива мења када се једна од независних променљивих повећа за једну јединицу, док су остале независне променљиве константне</w:t>
      </w:r>
      <w:r>
        <w:rPr>
          <w:rFonts w:ascii="Times New Roman" w:hAnsi="Times New Roman" w:cs="Times New Roman"/>
        </w:rPr>
        <w:t xml:space="preserve">; </w:t>
      </w:r>
    </w:p>
    <w:p w14:paraId="58D2780B" w14:textId="77777777" w:rsidR="00DD56F9" w:rsidRPr="006006CD" w:rsidRDefault="00DD56F9" w:rsidP="00DD56F9">
      <w:pPr>
        <w:pStyle w:val="ListParagraph"/>
        <w:numPr>
          <w:ilvl w:val="0"/>
          <w:numId w:val="3"/>
        </w:numPr>
        <w:jc w:val="both"/>
        <w:rPr>
          <w:rFonts w:ascii="Times New Roman" w:hAnsi="Times New Roman" w:cs="Times New Roman"/>
        </w:rPr>
      </w:pPr>
      <w:r w:rsidRPr="006006CD">
        <w:rPr>
          <w:rFonts w:ascii="Times New Roman" w:hAnsi="Times New Roman" w:cs="Times New Roman"/>
        </w:rPr>
        <w:t xml:space="preserve">снагу односа. </w:t>
      </w:r>
      <w:bookmarkStart w:id="8" w:name="_Hlk161508987"/>
      <w:r w:rsidRPr="006006CD">
        <w:rPr>
          <w:rFonts w:ascii="Times New Roman" w:hAnsi="Times New Roman" w:cs="Times New Roman"/>
        </w:rPr>
        <w:t>Коефицијент детерминације (R</w:t>
      </w:r>
      <w:r>
        <w:rPr>
          <w:rFonts w:ascii="Times New Roman" w:hAnsi="Times New Roman" w:cs="Times New Roman"/>
          <w:vertAlign w:val="superscript"/>
        </w:rPr>
        <w:t>2</w:t>
      </w:r>
      <w:r w:rsidRPr="006006CD">
        <w:rPr>
          <w:rFonts w:ascii="Times New Roman" w:hAnsi="Times New Roman" w:cs="Times New Roman"/>
        </w:rPr>
        <w:t>) показује колики део варијације у зависној променљивој може бити објашњен варијацијама у независним променљивим</w:t>
      </w:r>
      <w:bookmarkEnd w:id="8"/>
      <w:r>
        <w:rPr>
          <w:rFonts w:ascii="Times New Roman" w:hAnsi="Times New Roman" w:cs="Times New Roman"/>
        </w:rPr>
        <w:t>;</w:t>
      </w:r>
    </w:p>
    <w:p w14:paraId="1D542E3E" w14:textId="77777777" w:rsidR="00DD56F9" w:rsidRPr="006006CD" w:rsidRDefault="00DD56F9" w:rsidP="00DD56F9">
      <w:pPr>
        <w:pStyle w:val="ListParagraph"/>
        <w:numPr>
          <w:ilvl w:val="0"/>
          <w:numId w:val="3"/>
        </w:numPr>
        <w:jc w:val="both"/>
        <w:rPr>
          <w:rFonts w:ascii="Times New Roman" w:hAnsi="Times New Roman" w:cs="Times New Roman"/>
        </w:rPr>
      </w:pPr>
      <w:r w:rsidRPr="006006CD">
        <w:rPr>
          <w:rFonts w:ascii="Times New Roman" w:hAnsi="Times New Roman" w:cs="Times New Roman"/>
        </w:rPr>
        <w:t>релативну важност независних променљивих. Стандардизовани коефицијенти регресије (beta) показују колики је релативни утицај сваке независне променљиве на зависну, када су све независне променљиве стандардизоване</w:t>
      </w:r>
      <w:r>
        <w:rPr>
          <w:rFonts w:ascii="Times New Roman" w:hAnsi="Times New Roman" w:cs="Times New Roman"/>
        </w:rPr>
        <w:t>; и</w:t>
      </w:r>
    </w:p>
    <w:p w14:paraId="417EB7BF" w14:textId="77777777" w:rsidR="00DD56F9" w:rsidRDefault="00DD56F9" w:rsidP="00DD56F9">
      <w:pPr>
        <w:pStyle w:val="ListParagraph"/>
        <w:numPr>
          <w:ilvl w:val="0"/>
          <w:numId w:val="3"/>
        </w:numPr>
        <w:jc w:val="both"/>
        <w:rPr>
          <w:rFonts w:ascii="Times New Roman" w:hAnsi="Times New Roman" w:cs="Times New Roman"/>
        </w:rPr>
      </w:pPr>
      <w:r w:rsidRPr="006006CD">
        <w:rPr>
          <w:rFonts w:ascii="Times New Roman" w:hAnsi="Times New Roman" w:cs="Times New Roman"/>
        </w:rPr>
        <w:t>статистичку значајност. p-вредности показују вероватноћу да је добијени коефицијент регресије случајан. Мале p-вредности (обично мање од 0.05) указују на то да је коефицијент регресије статистички значајан.</w:t>
      </w:r>
    </w:p>
    <w:p w14:paraId="355BEF35" w14:textId="77777777" w:rsidR="00DD56F9" w:rsidRPr="004E5354" w:rsidRDefault="00DD56F9" w:rsidP="00DD56F9">
      <w:pPr>
        <w:spacing w:before="240" w:after="240"/>
        <w:jc w:val="both"/>
        <w:rPr>
          <w:rFonts w:ascii="Times New Roman" w:hAnsi="Times New Roman" w:cs="Times New Roman"/>
        </w:rPr>
      </w:pPr>
      <w:r>
        <w:rPr>
          <w:rFonts w:ascii="Times New Roman" w:hAnsi="Times New Roman" w:cs="Times New Roman"/>
        </w:rPr>
        <w:t xml:space="preserve">Општи модел вишеструке линеарне регресије гласи: </w:t>
      </w:r>
    </w:p>
    <w:p w14:paraId="22F48F69" w14:textId="77777777" w:rsidR="00DD56F9" w:rsidRDefault="00DD56F9" w:rsidP="00DD56F9">
      <w:pPr>
        <w:pStyle w:val="Default"/>
        <w:spacing w:before="240" w:after="240"/>
        <w:jc w:val="center"/>
        <w:rPr>
          <w:sz w:val="22"/>
          <w:szCs w:val="22"/>
        </w:rPr>
      </w:pPr>
      <w:bookmarkStart w:id="9" w:name="_Hlk160624812"/>
      <w:r w:rsidRPr="00164576">
        <w:rPr>
          <w:sz w:val="22"/>
          <w:szCs w:val="22"/>
        </w:rPr>
        <w:t>𝑌</w:t>
      </w:r>
      <w:r w:rsidRPr="00164576">
        <w:rPr>
          <w:rFonts w:ascii="Times New Roman" w:hAnsi="Times New Roman" w:cs="Times New Roman"/>
          <w:sz w:val="22"/>
          <w:szCs w:val="22"/>
        </w:rPr>
        <w:t>=</w:t>
      </w:r>
      <w:r w:rsidRPr="00164576">
        <w:rPr>
          <w:sz w:val="22"/>
          <w:szCs w:val="22"/>
        </w:rPr>
        <w:t>𝛼</w:t>
      </w:r>
      <w:r w:rsidRPr="00164576">
        <w:rPr>
          <w:rFonts w:ascii="Times New Roman" w:hAnsi="Times New Roman" w:cs="Times New Roman"/>
          <w:sz w:val="22"/>
          <w:szCs w:val="22"/>
        </w:rPr>
        <w:t>+</w:t>
      </w:r>
      <w:r w:rsidRPr="00164576">
        <w:rPr>
          <w:sz w:val="22"/>
          <w:szCs w:val="22"/>
        </w:rPr>
        <w:t>𝛽</w:t>
      </w:r>
      <w:r w:rsidRPr="00164576">
        <w:rPr>
          <w:rFonts w:ascii="Times New Roman" w:hAnsi="Times New Roman" w:cs="Times New Roman"/>
          <w:sz w:val="22"/>
          <w:szCs w:val="22"/>
          <w:vertAlign w:val="subscript"/>
        </w:rPr>
        <w:t>1</w:t>
      </w:r>
      <w:r w:rsidRPr="00164576">
        <w:rPr>
          <w:sz w:val="22"/>
          <w:szCs w:val="22"/>
        </w:rPr>
        <w:t>𝑋</w:t>
      </w:r>
      <w:r w:rsidRPr="00164576">
        <w:rPr>
          <w:rFonts w:ascii="Times New Roman" w:hAnsi="Times New Roman" w:cs="Times New Roman"/>
          <w:sz w:val="22"/>
          <w:szCs w:val="22"/>
          <w:vertAlign w:val="subscript"/>
        </w:rPr>
        <w:t>1</w:t>
      </w:r>
      <w:bookmarkStart w:id="10" w:name="_Hlk159601679"/>
      <w:r w:rsidRPr="00164576">
        <w:rPr>
          <w:rFonts w:ascii="Times New Roman" w:hAnsi="Times New Roman" w:cs="Times New Roman"/>
          <w:sz w:val="22"/>
          <w:szCs w:val="22"/>
        </w:rPr>
        <w:t>+</w:t>
      </w:r>
      <w:bookmarkEnd w:id="10"/>
      <w:r w:rsidRPr="00164576">
        <w:rPr>
          <w:sz w:val="22"/>
          <w:szCs w:val="22"/>
        </w:rPr>
        <w:t>𝛽</w:t>
      </w:r>
      <w:r w:rsidRPr="00164576">
        <w:rPr>
          <w:rFonts w:ascii="Times New Roman" w:hAnsi="Times New Roman" w:cs="Times New Roman"/>
          <w:sz w:val="22"/>
          <w:szCs w:val="22"/>
          <w:vertAlign w:val="subscript"/>
        </w:rPr>
        <w:t>2</w:t>
      </w:r>
      <w:r w:rsidRPr="00164576">
        <w:rPr>
          <w:sz w:val="22"/>
          <w:szCs w:val="22"/>
        </w:rPr>
        <w:t>𝑋</w:t>
      </w:r>
      <w:r w:rsidRPr="00164576">
        <w:rPr>
          <w:rFonts w:ascii="Times New Roman" w:hAnsi="Times New Roman" w:cs="Times New Roman"/>
          <w:sz w:val="22"/>
          <w:szCs w:val="22"/>
          <w:vertAlign w:val="subscript"/>
        </w:rPr>
        <w:t>2</w:t>
      </w:r>
      <w:r w:rsidRPr="00164576">
        <w:rPr>
          <w:rFonts w:ascii="Times New Roman" w:hAnsi="Times New Roman" w:cs="Times New Roman"/>
          <w:sz w:val="22"/>
          <w:szCs w:val="22"/>
        </w:rPr>
        <w:t>+</w:t>
      </w:r>
      <w:r w:rsidRPr="00164576">
        <w:rPr>
          <w:sz w:val="22"/>
          <w:szCs w:val="22"/>
        </w:rPr>
        <w:t>⋯𝛽</w:t>
      </w:r>
      <w:r w:rsidRPr="00164576">
        <w:rPr>
          <w:sz w:val="22"/>
          <w:szCs w:val="22"/>
          <w:vertAlign w:val="subscript"/>
        </w:rPr>
        <w:t>𝑘</w:t>
      </w:r>
      <w:r w:rsidRPr="00164576">
        <w:rPr>
          <w:sz w:val="22"/>
          <w:szCs w:val="22"/>
        </w:rPr>
        <w:t>𝑋</w:t>
      </w:r>
      <w:r w:rsidRPr="00164576">
        <w:rPr>
          <w:sz w:val="22"/>
          <w:szCs w:val="22"/>
          <w:vertAlign w:val="subscript"/>
        </w:rPr>
        <w:t>𝑘</w:t>
      </w:r>
      <w:r w:rsidRPr="00164576">
        <w:rPr>
          <w:rFonts w:ascii="Times New Roman" w:hAnsi="Times New Roman" w:cs="Times New Roman"/>
          <w:sz w:val="22"/>
          <w:szCs w:val="22"/>
        </w:rPr>
        <w:t>+</w:t>
      </w:r>
      <w:r w:rsidRPr="00164576">
        <w:rPr>
          <w:sz w:val="22"/>
          <w:szCs w:val="22"/>
        </w:rPr>
        <w:t>𝜀</w:t>
      </w:r>
      <w:r>
        <w:rPr>
          <w:sz w:val="22"/>
          <w:szCs w:val="22"/>
        </w:rPr>
        <w:t>,</w:t>
      </w:r>
    </w:p>
    <w:bookmarkEnd w:id="9"/>
    <w:p w14:paraId="1B2E69BE" w14:textId="77777777" w:rsidR="00DD56F9" w:rsidRDefault="00DD56F9" w:rsidP="00DD56F9">
      <w:pPr>
        <w:pStyle w:val="Default"/>
        <w:spacing w:after="160"/>
        <w:jc w:val="both"/>
        <w:rPr>
          <w:rFonts w:ascii="Times New Roman" w:hAnsi="Times New Roman" w:cs="Times New Roman"/>
          <w:sz w:val="22"/>
          <w:szCs w:val="22"/>
        </w:rPr>
      </w:pPr>
      <w:r w:rsidRPr="002C7680">
        <w:rPr>
          <w:rFonts w:ascii="Times New Roman" w:hAnsi="Times New Roman" w:cs="Times New Roman"/>
          <w:sz w:val="22"/>
          <w:szCs w:val="22"/>
        </w:rPr>
        <w:t xml:space="preserve">Где је </w:t>
      </w:r>
      <w:r w:rsidRPr="002C7680">
        <w:rPr>
          <w:sz w:val="22"/>
          <w:szCs w:val="22"/>
        </w:rPr>
        <w:t>𝑌</w:t>
      </w:r>
      <w:r w:rsidRPr="002C7680">
        <w:rPr>
          <w:rFonts w:ascii="Times New Roman" w:hAnsi="Times New Roman" w:cs="Times New Roman"/>
          <w:sz w:val="22"/>
          <w:szCs w:val="22"/>
        </w:rPr>
        <w:t xml:space="preserve"> зависна променљива; </w:t>
      </w:r>
      <w:bookmarkStart w:id="11" w:name="_Hlk160625381"/>
      <w:r w:rsidRPr="002C7680">
        <w:rPr>
          <w:sz w:val="22"/>
          <w:szCs w:val="22"/>
        </w:rPr>
        <w:t>𝛼</w:t>
      </w:r>
      <w:r w:rsidRPr="002C7680">
        <w:rPr>
          <w:rFonts w:ascii="Times New Roman" w:hAnsi="Times New Roman" w:cs="Times New Roman"/>
          <w:sz w:val="22"/>
          <w:szCs w:val="22"/>
        </w:rPr>
        <w:t xml:space="preserve"> константа, односно пресек y-осе, </w:t>
      </w:r>
      <w:r w:rsidRPr="002C7680">
        <w:rPr>
          <w:sz w:val="22"/>
          <w:szCs w:val="22"/>
        </w:rPr>
        <w:t>𝛽</w:t>
      </w:r>
      <w:r w:rsidRPr="002C7680">
        <w:rPr>
          <w:rFonts w:ascii="Times New Roman" w:hAnsi="Times New Roman" w:cs="Times New Roman"/>
          <w:sz w:val="22"/>
          <w:szCs w:val="22"/>
        </w:rPr>
        <w:t xml:space="preserve">1, </w:t>
      </w:r>
      <w:r w:rsidRPr="002C7680">
        <w:rPr>
          <w:sz w:val="22"/>
          <w:szCs w:val="22"/>
        </w:rPr>
        <w:t>𝛽</w:t>
      </w:r>
      <w:r w:rsidRPr="002C7680">
        <w:rPr>
          <w:rFonts w:ascii="Times New Roman" w:hAnsi="Times New Roman" w:cs="Times New Roman"/>
          <w:sz w:val="22"/>
          <w:szCs w:val="22"/>
        </w:rPr>
        <w:t xml:space="preserve">2, ..., </w:t>
      </w:r>
      <w:r w:rsidRPr="002C7680">
        <w:rPr>
          <w:sz w:val="22"/>
          <w:szCs w:val="22"/>
        </w:rPr>
        <w:t>𝛽𝑘</w:t>
      </w:r>
      <w:r w:rsidRPr="002C7680">
        <w:rPr>
          <w:rFonts w:ascii="Times New Roman" w:hAnsi="Times New Roman" w:cs="Times New Roman"/>
          <w:sz w:val="22"/>
          <w:szCs w:val="22"/>
        </w:rPr>
        <w:t xml:space="preserve"> означавају коефицијенте регресије за сваку од независних променљивих (</w:t>
      </w:r>
      <w:r w:rsidRPr="002C7680">
        <w:rPr>
          <w:sz w:val="22"/>
          <w:szCs w:val="22"/>
        </w:rPr>
        <w:t>𝑋</w:t>
      </w:r>
      <w:r w:rsidRPr="002C7680">
        <w:rPr>
          <w:rFonts w:ascii="Times New Roman" w:hAnsi="Times New Roman" w:cs="Times New Roman"/>
          <w:sz w:val="22"/>
          <w:szCs w:val="22"/>
        </w:rPr>
        <w:t xml:space="preserve">1, </w:t>
      </w:r>
      <w:r w:rsidRPr="002C7680">
        <w:rPr>
          <w:sz w:val="22"/>
          <w:szCs w:val="22"/>
        </w:rPr>
        <w:t>𝑋</w:t>
      </w:r>
      <w:r w:rsidRPr="002C7680">
        <w:rPr>
          <w:rFonts w:ascii="Times New Roman" w:hAnsi="Times New Roman" w:cs="Times New Roman"/>
          <w:sz w:val="22"/>
          <w:szCs w:val="22"/>
        </w:rPr>
        <w:t xml:space="preserve">2, ..., </w:t>
      </w:r>
      <w:r w:rsidRPr="002C7680">
        <w:rPr>
          <w:sz w:val="22"/>
          <w:szCs w:val="22"/>
        </w:rPr>
        <w:t>𝑋𝑘</w:t>
      </w:r>
      <w:r w:rsidRPr="002C7680">
        <w:rPr>
          <w:rFonts w:ascii="Times New Roman" w:hAnsi="Times New Roman" w:cs="Times New Roman"/>
          <w:sz w:val="22"/>
          <w:szCs w:val="22"/>
        </w:rPr>
        <w:t xml:space="preserve">), </w:t>
      </w:r>
      <w:bookmarkEnd w:id="11"/>
      <w:r w:rsidRPr="002C7680">
        <w:rPr>
          <w:rFonts w:ascii="Times New Roman" w:hAnsi="Times New Roman" w:cs="Times New Roman"/>
          <w:sz w:val="22"/>
          <w:szCs w:val="22"/>
        </w:rPr>
        <w:t xml:space="preserve">а </w:t>
      </w:r>
      <w:r w:rsidRPr="002C7680">
        <w:rPr>
          <w:sz w:val="22"/>
          <w:szCs w:val="22"/>
        </w:rPr>
        <w:t>𝜀</w:t>
      </w:r>
      <w:r w:rsidRPr="002C7680">
        <w:rPr>
          <w:rFonts w:ascii="Times New Roman" w:hAnsi="Times New Roman" w:cs="Times New Roman"/>
          <w:sz w:val="22"/>
          <w:szCs w:val="22"/>
        </w:rPr>
        <w:t xml:space="preserve"> означава грешку</w:t>
      </w:r>
      <w:r>
        <w:rPr>
          <w:rFonts w:ascii="Times New Roman" w:hAnsi="Times New Roman" w:cs="Times New Roman"/>
          <w:sz w:val="22"/>
          <w:szCs w:val="22"/>
        </w:rPr>
        <w:t xml:space="preserve">, </w:t>
      </w:r>
      <w:r w:rsidRPr="002C7680">
        <w:rPr>
          <w:rFonts w:ascii="Times New Roman" w:hAnsi="Times New Roman" w:cs="Times New Roman"/>
          <w:sz w:val="22"/>
          <w:szCs w:val="22"/>
        </w:rPr>
        <w:t>о</w:t>
      </w:r>
      <w:r>
        <w:rPr>
          <w:rFonts w:ascii="Times New Roman" w:hAnsi="Times New Roman" w:cs="Times New Roman"/>
          <w:sz w:val="22"/>
          <w:szCs w:val="22"/>
        </w:rPr>
        <w:t>дн. то</w:t>
      </w:r>
      <w:r w:rsidRPr="002C7680">
        <w:rPr>
          <w:rFonts w:ascii="Times New Roman" w:hAnsi="Times New Roman" w:cs="Times New Roman"/>
          <w:sz w:val="22"/>
          <w:szCs w:val="22"/>
        </w:rPr>
        <w:t xml:space="preserve"> је део варијације у зависној променљивој који није објашњен независним променљивама.</w:t>
      </w:r>
    </w:p>
    <w:p w14:paraId="5E9B5325" w14:textId="77777777" w:rsidR="00DD56F9" w:rsidRDefault="00DD56F9" w:rsidP="00DD56F9">
      <w:pPr>
        <w:tabs>
          <w:tab w:val="left" w:pos="8325"/>
        </w:tabs>
        <w:jc w:val="both"/>
        <w:rPr>
          <w:rFonts w:ascii="Times New Roman" w:hAnsi="Times New Roman" w:cs="Times New Roman"/>
        </w:rPr>
      </w:pPr>
      <w:r w:rsidRPr="006006CD">
        <w:rPr>
          <w:rFonts w:ascii="Times New Roman" w:hAnsi="Times New Roman" w:cs="Times New Roman"/>
        </w:rPr>
        <w:t>Не треба заборавити да овај статистички модел није савршен. Претпоставке овог модела су лин</w:t>
      </w:r>
      <w:r>
        <w:rPr>
          <w:rFonts w:ascii="Times New Roman" w:hAnsi="Times New Roman" w:cs="Times New Roman"/>
        </w:rPr>
        <w:t>е</w:t>
      </w:r>
      <w:r w:rsidRPr="006006CD">
        <w:rPr>
          <w:rFonts w:ascii="Times New Roman" w:hAnsi="Times New Roman" w:cs="Times New Roman"/>
        </w:rPr>
        <w:t>арна, нормална расподела. С друге стране, мали део варијације у зависној променљивој ће увек бити необјашњен. Такође, овај модел је осетљив на аутлајере (</w:t>
      </w:r>
      <w:r>
        <w:rPr>
          <w:rFonts w:ascii="Times New Roman" w:hAnsi="Times New Roman" w:cs="Times New Roman"/>
        </w:rPr>
        <w:t xml:space="preserve">outliers – </w:t>
      </w:r>
      <w:r w:rsidRPr="006006CD">
        <w:rPr>
          <w:rFonts w:ascii="Times New Roman" w:hAnsi="Times New Roman" w:cs="Times New Roman"/>
        </w:rPr>
        <w:t>вредности које значајно одступају од просека).</w:t>
      </w:r>
    </w:p>
    <w:p w14:paraId="51F070C3" w14:textId="20CA2886" w:rsidR="00C53795" w:rsidRDefault="00DD56F9" w:rsidP="00DD56F9">
      <w:pPr>
        <w:tabs>
          <w:tab w:val="left" w:pos="8325"/>
        </w:tabs>
        <w:jc w:val="both"/>
        <w:rPr>
          <w:rFonts w:ascii="Times New Roman" w:hAnsi="Times New Roman" w:cs="Times New Roman"/>
        </w:rPr>
      </w:pPr>
      <w:r w:rsidRPr="00C53795">
        <w:rPr>
          <w:rFonts w:ascii="Times New Roman" w:hAnsi="Times New Roman" w:cs="Times New Roman"/>
        </w:rPr>
        <w:t>Коефицијент детерминације је статистичка мера која се користи за процену колико добро модел линеарне регресије одговара стварним подацима. Вредност R</w:t>
      </w:r>
      <w:r w:rsidRPr="009128E5">
        <w:rPr>
          <w:rFonts w:ascii="Times New Roman" w:hAnsi="Times New Roman" w:cs="Times New Roman"/>
          <w:vertAlign w:val="superscript"/>
        </w:rPr>
        <w:t>2</w:t>
      </w:r>
      <w:r w:rsidRPr="00C53795">
        <w:rPr>
          <w:rFonts w:ascii="Times New Roman" w:hAnsi="Times New Roman" w:cs="Times New Roman"/>
        </w:rPr>
        <w:t xml:space="preserve"> варира од 0 до 1. Што је вредност </w:t>
      </w:r>
      <w:r w:rsidRPr="00C53795">
        <w:rPr>
          <w:rFonts w:ascii="Times New Roman" w:hAnsi="Times New Roman" w:cs="Times New Roman"/>
        </w:rPr>
        <w:lastRenderedPageBreak/>
        <w:t xml:space="preserve">ближа 1, значи да независне варијабле боље објашњавају зависну. Приликом интерпретација коефицијента детерминације треба бити опрезан, јер </w:t>
      </w:r>
      <w:r>
        <w:rPr>
          <w:rFonts w:ascii="Times New Roman" w:hAnsi="Times New Roman" w:cs="Times New Roman"/>
        </w:rPr>
        <w:t>вредност</w:t>
      </w:r>
      <w:r w:rsidRPr="00C53795">
        <w:rPr>
          <w:rFonts w:ascii="Times New Roman" w:hAnsi="Times New Roman" w:cs="Times New Roman"/>
        </w:rPr>
        <w:t xml:space="preserve"> може бити вештачки повећана додавањем неважних варијабли у модел. С тим у вези, у начуним радовима треба ову статистичку меру увек везивати са још нек</w:t>
      </w:r>
      <w:r>
        <w:rPr>
          <w:rFonts w:ascii="Times New Roman" w:hAnsi="Times New Roman" w:cs="Times New Roman"/>
        </w:rPr>
        <w:t>ом статистичком мером</w:t>
      </w:r>
      <w:r w:rsidRPr="00C53795">
        <w:rPr>
          <w:rFonts w:ascii="Times New Roman" w:hAnsi="Times New Roman" w:cs="Times New Roman"/>
        </w:rPr>
        <w:t>, попут p вредности, коефицијента регресије и других. У истраживањима R</w:t>
      </w:r>
      <w:r w:rsidRPr="0048424B">
        <w:rPr>
          <w:rFonts w:ascii="Times New Roman" w:hAnsi="Times New Roman" w:cs="Times New Roman"/>
          <w:vertAlign w:val="superscript"/>
        </w:rPr>
        <w:t>2</w:t>
      </w:r>
      <w:r w:rsidRPr="00C53795">
        <w:rPr>
          <w:rFonts w:ascii="Times New Roman" w:hAnsi="Times New Roman" w:cs="Times New Roman"/>
        </w:rPr>
        <w:t xml:space="preserve"> се користи за поређење различитих модела како би се одабрао најбољи, али и за разумевање узрочних веза и предвиђање будућих догађаја.</w:t>
      </w:r>
    </w:p>
    <w:p w14:paraId="1022D989" w14:textId="77777777" w:rsidR="00C212B5" w:rsidRDefault="00C212B5" w:rsidP="006006CD">
      <w:pPr>
        <w:jc w:val="both"/>
        <w:rPr>
          <w:rFonts w:ascii="Times New Roman" w:hAnsi="Times New Roman" w:cs="Times New Roman"/>
        </w:rPr>
      </w:pPr>
      <w:r>
        <w:rPr>
          <w:rFonts w:ascii="Times New Roman" w:hAnsi="Times New Roman" w:cs="Times New Roman"/>
        </w:rPr>
        <w:t xml:space="preserve">У првом кораку ћемо наше историјске податке о кретању цена CAT-a претворити у приносе уз помоћ формуле: </w:t>
      </w:r>
    </w:p>
    <w:p w14:paraId="24001771" w14:textId="77777777" w:rsidR="002356E0" w:rsidRPr="00335B77" w:rsidRDefault="002356E0" w:rsidP="005A0958">
      <w:pPr>
        <w:spacing w:before="240" w:after="240"/>
        <w:jc w:val="center"/>
        <w:rPr>
          <w:rFonts w:ascii="Times New Roman" w:hAnsi="Times New Roman" w:cs="Times New Roman"/>
        </w:rPr>
      </w:pPr>
      <w:r w:rsidRPr="00335B77">
        <w:rPr>
          <w:rFonts w:ascii="Times New Roman" w:hAnsi="Times New Roman" w:cs="Times New Roman"/>
        </w:rPr>
        <w:t xml:space="preserve">p (%) = </w:t>
      </w:r>
      <m:oMath>
        <m:f>
          <m:fPr>
            <m:ctrlPr>
              <w:rPr>
                <w:rFonts w:ascii="Cambria Math" w:hAnsi="Cambria Math" w:cs="Times New Roman"/>
                <w:i/>
                <w:vertAlign w:val="subscript"/>
              </w:rPr>
            </m:ctrlPr>
          </m:fPr>
          <m:num>
            <m:r>
              <w:rPr>
                <w:rFonts w:ascii="Cambria Math" w:hAnsi="Cambria Math" w:cs="Times New Roman"/>
                <w:vertAlign w:val="subscript"/>
              </w:rPr>
              <m:t>Pt-Pt-1</m:t>
            </m:r>
          </m:num>
          <m:den>
            <m:r>
              <w:rPr>
                <w:rFonts w:ascii="Cambria Math" w:hAnsi="Cambria Math" w:cs="Times New Roman"/>
                <w:vertAlign w:val="subscript"/>
              </w:rPr>
              <m:t>Pt-1</m:t>
            </m:r>
          </m:den>
        </m:f>
      </m:oMath>
      <w:r w:rsidR="002364F1" w:rsidRPr="00335B77">
        <w:rPr>
          <w:rFonts w:ascii="Times New Roman" w:eastAsiaTheme="minorEastAsia" w:hAnsi="Times New Roman" w:cs="Times New Roman"/>
          <w:vertAlign w:val="subscript"/>
        </w:rPr>
        <w:t xml:space="preserve"> </w:t>
      </w:r>
      <w:r w:rsidR="002364F1" w:rsidRPr="00335B77">
        <w:rPr>
          <w:rFonts w:ascii="Times New Roman" w:hAnsi="Times New Roman" w:cs="Times New Roman"/>
        </w:rPr>
        <w:t>x 100</w:t>
      </w:r>
      <w:r w:rsidR="00ED67CC">
        <w:rPr>
          <w:rFonts w:ascii="Times New Roman" w:hAnsi="Times New Roman" w:cs="Times New Roman"/>
        </w:rPr>
        <w:t>,</w:t>
      </w:r>
    </w:p>
    <w:p w14:paraId="32900625" w14:textId="77777777" w:rsidR="002364F1" w:rsidRPr="005A1AA0" w:rsidRDefault="00ED67CC" w:rsidP="002364F1">
      <w:pPr>
        <w:rPr>
          <w:rFonts w:ascii="Times New Roman" w:hAnsi="Times New Roman" w:cs="Times New Roman"/>
        </w:rPr>
      </w:pPr>
      <w:r>
        <w:rPr>
          <w:rFonts w:ascii="Times New Roman" w:hAnsi="Times New Roman" w:cs="Times New Roman"/>
        </w:rPr>
        <w:t>г</w:t>
      </w:r>
      <w:r w:rsidR="002364F1">
        <w:rPr>
          <w:rFonts w:ascii="Times New Roman" w:hAnsi="Times New Roman" w:cs="Times New Roman"/>
        </w:rPr>
        <w:t xml:space="preserve">де нам је Pt цена тренутног периода, </w:t>
      </w:r>
      <w:r w:rsidR="002364F1" w:rsidRPr="00CB65CE">
        <w:rPr>
          <w:rFonts w:ascii="Times New Roman" w:hAnsi="Times New Roman" w:cs="Times New Roman"/>
        </w:rPr>
        <w:t>а Pt-</w:t>
      </w:r>
      <w:r w:rsidR="002364F1">
        <w:rPr>
          <w:rFonts w:ascii="Times New Roman" w:hAnsi="Times New Roman" w:cs="Times New Roman"/>
        </w:rPr>
        <w:t>1 цена претходног периода.</w:t>
      </w:r>
    </w:p>
    <w:p w14:paraId="5A4886D7" w14:textId="77777777" w:rsidR="002364F1" w:rsidRPr="005A1AA0" w:rsidRDefault="005A1AA0" w:rsidP="00574721">
      <w:pPr>
        <w:jc w:val="both"/>
        <w:rPr>
          <w:rFonts w:ascii="Times New Roman" w:hAnsi="Times New Roman" w:cs="Times New Roman"/>
        </w:rPr>
      </w:pPr>
      <w:r>
        <w:rPr>
          <w:rFonts w:ascii="Times New Roman" w:hAnsi="Times New Roman" w:cs="Times New Roman"/>
        </w:rPr>
        <w:t>Стопа</w:t>
      </w:r>
      <w:r w:rsidR="002364F1" w:rsidRPr="002364F1">
        <w:rPr>
          <w:rFonts w:ascii="Times New Roman" w:hAnsi="Times New Roman" w:cs="Times New Roman"/>
        </w:rPr>
        <w:t xml:space="preserve"> приноса представља један од </w:t>
      </w:r>
      <w:r>
        <w:rPr>
          <w:rFonts w:ascii="Times New Roman" w:hAnsi="Times New Roman" w:cs="Times New Roman"/>
        </w:rPr>
        <w:t>фактора</w:t>
      </w:r>
      <w:r w:rsidR="002364F1" w:rsidRPr="002364F1">
        <w:rPr>
          <w:rFonts w:ascii="Times New Roman" w:hAnsi="Times New Roman" w:cs="Times New Roman"/>
        </w:rPr>
        <w:t xml:space="preserve"> који стимулише инвеститоре, а истовремено представља и награду за њихову одва</w:t>
      </w:r>
      <w:r>
        <w:rPr>
          <w:rFonts w:ascii="Times New Roman" w:hAnsi="Times New Roman" w:cs="Times New Roman"/>
        </w:rPr>
        <w:t>жност</w:t>
      </w:r>
      <w:r w:rsidR="002364F1" w:rsidRPr="002364F1">
        <w:rPr>
          <w:rFonts w:ascii="Times New Roman" w:hAnsi="Times New Roman" w:cs="Times New Roman"/>
        </w:rPr>
        <w:t xml:space="preserve"> да се изложе ризицима при </w:t>
      </w:r>
      <w:r>
        <w:rPr>
          <w:rFonts w:ascii="Times New Roman" w:hAnsi="Times New Roman" w:cs="Times New Roman"/>
        </w:rPr>
        <w:t>улагањима (</w:t>
      </w:r>
      <w:r w:rsidRPr="005A1AA0">
        <w:rPr>
          <w:rFonts w:ascii="Times New Roman" w:hAnsi="Times New Roman" w:cs="Times New Roman"/>
        </w:rPr>
        <w:t>Tandelilin, 2010</w:t>
      </w:r>
      <w:r>
        <w:rPr>
          <w:rFonts w:ascii="Times New Roman" w:hAnsi="Times New Roman" w:cs="Times New Roman"/>
        </w:rPr>
        <w:t>).</w:t>
      </w:r>
    </w:p>
    <w:p w14:paraId="2B69D84C" w14:textId="77777777" w:rsidR="009802DE" w:rsidRPr="004D3057" w:rsidRDefault="004E23B8" w:rsidP="009802DE">
      <w:pPr>
        <w:jc w:val="both"/>
        <w:rPr>
          <w:rFonts w:ascii="Times New Roman" w:hAnsi="Times New Roman" w:cs="Times New Roman"/>
        </w:rPr>
      </w:pPr>
      <w:r>
        <w:rPr>
          <w:rFonts w:ascii="Times New Roman" w:hAnsi="Times New Roman" w:cs="Times New Roman"/>
        </w:rPr>
        <w:t>У нашој даљој</w:t>
      </w:r>
      <w:r w:rsidR="002364F1">
        <w:rPr>
          <w:rFonts w:ascii="Times New Roman" w:hAnsi="Times New Roman" w:cs="Times New Roman"/>
        </w:rPr>
        <w:t xml:space="preserve"> анализи </w:t>
      </w:r>
      <w:r>
        <w:rPr>
          <w:rFonts w:ascii="Times New Roman" w:hAnsi="Times New Roman" w:cs="Times New Roman"/>
        </w:rPr>
        <w:t xml:space="preserve">ћемо се </w:t>
      </w:r>
      <w:r w:rsidR="002364F1">
        <w:rPr>
          <w:rFonts w:ascii="Times New Roman" w:hAnsi="Times New Roman" w:cs="Times New Roman"/>
        </w:rPr>
        <w:t xml:space="preserve">ослањати на CAPM теорију, у циљу да Модел равнотежног вредновања активе узмемо као бенчмарк модел како бисмо покушали да унапредимо наш модел додавањем нових предиктора. Према </w:t>
      </w:r>
      <w:r w:rsidR="002E36B0">
        <w:rPr>
          <w:rFonts w:ascii="Times New Roman" w:hAnsi="Times New Roman" w:cs="Times New Roman"/>
        </w:rPr>
        <w:t>CAPM теорији, ако се узме тржишн</w:t>
      </w:r>
      <w:r w:rsidR="006E64D4">
        <w:rPr>
          <w:rFonts w:ascii="Times New Roman" w:hAnsi="Times New Roman" w:cs="Times New Roman"/>
        </w:rPr>
        <w:t>и</w:t>
      </w:r>
      <w:r w:rsidR="002E36B0">
        <w:rPr>
          <w:rFonts w:ascii="Times New Roman" w:hAnsi="Times New Roman" w:cs="Times New Roman"/>
        </w:rPr>
        <w:t xml:space="preserve"> портфолио као бенчмарк, онда је за асет (енг. asset) очекивана премија на ризик пропорционална очекиваној премији тржишног портфолија.</w:t>
      </w:r>
      <w:r w:rsidR="00E25A81">
        <w:rPr>
          <w:rFonts w:ascii="Times New Roman" w:hAnsi="Times New Roman" w:cs="Times New Roman"/>
        </w:rPr>
        <w:t xml:space="preserve"> CAPM претпоставља линеарну везу између очекиваних приноса и системског ризика, што се изражава путем beta коефицијента.</w:t>
      </w:r>
      <w:r w:rsidR="00E25A81" w:rsidRPr="00E25A81">
        <w:t xml:space="preserve"> </w:t>
      </w:r>
      <w:r w:rsidR="009802DE" w:rsidRPr="009802DE">
        <w:rPr>
          <w:rFonts w:ascii="Times New Roman" w:hAnsi="Times New Roman" w:cs="Times New Roman"/>
        </w:rPr>
        <w:t xml:space="preserve">Суштина CAPM модела је да активе са истим нивоом системског ризика треба да имају исту очекивану стопу приноса. То је модел за процену очекиваног приноса на одређену инвестицију, узимајући у обзир системски ризик. Коефицијент регресије, познат као </w:t>
      </w:r>
      <w:r w:rsidR="003C3AAB">
        <w:rPr>
          <w:rFonts w:ascii="Times New Roman" w:hAnsi="Times New Roman" w:cs="Times New Roman"/>
        </w:rPr>
        <w:t>beta</w:t>
      </w:r>
      <w:r w:rsidR="009802DE" w:rsidRPr="009802DE">
        <w:rPr>
          <w:rFonts w:ascii="Times New Roman" w:hAnsi="Times New Roman" w:cs="Times New Roman"/>
        </w:rPr>
        <w:t>, представља меру осетљивости промена приноса неког финансијског инструмента на промене приноса тржишног портфолија, тј. на промене системске компоненте, која се често мери кроз перформансе одређеног тржишног индекса, попут S&amp;P 500. Ова мера има за циљ процену системског ризика, одн</w:t>
      </w:r>
      <w:r w:rsidR="00CB65CE">
        <w:rPr>
          <w:rFonts w:ascii="Times New Roman" w:hAnsi="Times New Roman" w:cs="Times New Roman"/>
        </w:rPr>
        <w:t>осно</w:t>
      </w:r>
      <w:r w:rsidR="009802DE" w:rsidRPr="009802DE">
        <w:rPr>
          <w:rFonts w:ascii="Times New Roman" w:hAnsi="Times New Roman" w:cs="Times New Roman"/>
        </w:rPr>
        <w:t xml:space="preserve"> </w:t>
      </w:r>
      <w:r w:rsidR="004D3057">
        <w:rPr>
          <w:rFonts w:ascii="Times New Roman" w:hAnsi="Times New Roman" w:cs="Times New Roman"/>
        </w:rPr>
        <w:t>и</w:t>
      </w:r>
      <w:r w:rsidR="009802DE" w:rsidRPr="009802DE">
        <w:rPr>
          <w:rFonts w:ascii="Times New Roman" w:hAnsi="Times New Roman" w:cs="Times New Roman"/>
        </w:rPr>
        <w:t xml:space="preserve">зложености инвестиције према ширем тржишном кретању. </w:t>
      </w:r>
      <w:r w:rsidR="003C3AAB">
        <w:rPr>
          <w:rFonts w:ascii="Times New Roman" w:hAnsi="Times New Roman" w:cs="Times New Roman"/>
        </w:rPr>
        <w:t>Beta</w:t>
      </w:r>
      <w:r w:rsidR="009802DE" w:rsidRPr="009802DE">
        <w:rPr>
          <w:rFonts w:ascii="Times New Roman" w:hAnsi="Times New Roman" w:cs="Times New Roman"/>
        </w:rPr>
        <w:t xml:space="preserve"> </w:t>
      </w:r>
      <w:r w:rsidR="00CB65CE">
        <w:rPr>
          <w:rFonts w:ascii="Times New Roman" w:hAnsi="Times New Roman" w:cs="Times New Roman"/>
        </w:rPr>
        <w:t xml:space="preserve">коефицијент </w:t>
      </w:r>
      <w:r w:rsidR="009802DE" w:rsidRPr="009802DE">
        <w:rPr>
          <w:rFonts w:ascii="Times New Roman" w:hAnsi="Times New Roman" w:cs="Times New Roman"/>
        </w:rPr>
        <w:t xml:space="preserve">нам пружа информацију о томе колико је неки финансијски инструмент (нпр. акције једне компаније) подложан флуктуацијама на тржишту у односу на целокупно тржиште. Ако је </w:t>
      </w:r>
      <w:r w:rsidR="003C3AAB">
        <w:rPr>
          <w:rFonts w:ascii="Times New Roman" w:hAnsi="Times New Roman" w:cs="Times New Roman"/>
        </w:rPr>
        <w:t>beta</w:t>
      </w:r>
      <w:r w:rsidR="009802DE" w:rsidRPr="009802DE">
        <w:rPr>
          <w:rFonts w:ascii="Times New Roman" w:hAnsi="Times New Roman" w:cs="Times New Roman"/>
        </w:rPr>
        <w:t xml:space="preserve"> једнака 1, то значи да ће се вредност тог инструмента кретати у истом смеру и у истом проценту као и тржиште. С друге стране, ако је </w:t>
      </w:r>
      <w:r w:rsidR="003C3AAB">
        <w:rPr>
          <w:rFonts w:ascii="Times New Roman" w:hAnsi="Times New Roman" w:cs="Times New Roman"/>
        </w:rPr>
        <w:t>beta</w:t>
      </w:r>
      <w:r w:rsidR="009802DE" w:rsidRPr="009802DE">
        <w:rPr>
          <w:rFonts w:ascii="Times New Roman" w:hAnsi="Times New Roman" w:cs="Times New Roman"/>
        </w:rPr>
        <w:t xml:space="preserve"> мања од 1, инструмент је мање волатилан од тржишта, а </w:t>
      </w:r>
      <w:r w:rsidR="003C3AAB">
        <w:rPr>
          <w:rFonts w:ascii="Times New Roman" w:hAnsi="Times New Roman" w:cs="Times New Roman"/>
        </w:rPr>
        <w:t>beta</w:t>
      </w:r>
      <w:r w:rsidR="009802DE" w:rsidRPr="009802DE">
        <w:rPr>
          <w:rFonts w:ascii="Times New Roman" w:hAnsi="Times New Roman" w:cs="Times New Roman"/>
        </w:rPr>
        <w:t xml:space="preserve"> већа од 1 нам указује на већу волатилност испитиваног финансијског инструмента у односу на тржиште</w:t>
      </w:r>
      <w:r w:rsidR="00E602D7">
        <w:rPr>
          <w:rFonts w:ascii="Times New Roman" w:hAnsi="Times New Roman" w:cs="Times New Roman"/>
        </w:rPr>
        <w:t xml:space="preserve">. </w:t>
      </w:r>
      <w:r w:rsidR="009802DE" w:rsidRPr="009802DE">
        <w:rPr>
          <w:rFonts w:ascii="Times New Roman" w:hAnsi="Times New Roman" w:cs="Times New Roman"/>
        </w:rPr>
        <w:t xml:space="preserve">Инвеститорима познавање </w:t>
      </w:r>
      <w:r w:rsidR="003C3AAB">
        <w:rPr>
          <w:rFonts w:ascii="Times New Roman" w:hAnsi="Times New Roman" w:cs="Times New Roman"/>
        </w:rPr>
        <w:t>beta</w:t>
      </w:r>
      <w:r w:rsidR="009802DE" w:rsidRPr="009802DE">
        <w:rPr>
          <w:rFonts w:ascii="Times New Roman" w:hAnsi="Times New Roman" w:cs="Times New Roman"/>
        </w:rPr>
        <w:t xml:space="preserve"> коефицијента помаже да боље разумеју ризике повезане са својим портфолијом и правилно диверсификују своје инвестиције како би смањили укупни системски ризик.</w:t>
      </w:r>
    </w:p>
    <w:p w14:paraId="169BAE8F" w14:textId="6AA20EC3" w:rsidR="00022622" w:rsidRPr="00022622" w:rsidRDefault="009802DE" w:rsidP="003C3AAB">
      <w:pPr>
        <w:jc w:val="both"/>
        <w:rPr>
          <w:rFonts w:ascii="Times New Roman" w:hAnsi="Times New Roman" w:cs="Times New Roman"/>
        </w:rPr>
      </w:pPr>
      <w:r w:rsidRPr="009802DE">
        <w:rPr>
          <w:rFonts w:ascii="Times New Roman" w:hAnsi="Times New Roman" w:cs="Times New Roman"/>
        </w:rPr>
        <w:t>Будући да је у пракси немогуће уложити у све доступне инвестиције, као одговарајућу замену</w:t>
      </w:r>
      <w:r w:rsidR="005904FD">
        <w:rPr>
          <w:rFonts w:ascii="Times New Roman" w:hAnsi="Times New Roman" w:cs="Times New Roman"/>
        </w:rPr>
        <w:t xml:space="preserve"> </w:t>
      </w:r>
      <w:r w:rsidRPr="009802DE">
        <w:rPr>
          <w:rFonts w:ascii="Times New Roman" w:hAnsi="Times New Roman" w:cs="Times New Roman"/>
        </w:rPr>
        <w:t>користимо тржишне индексе за тржишни портфолио.</w:t>
      </w:r>
      <w:r w:rsidR="005904FD">
        <w:rPr>
          <w:rFonts w:ascii="Times New Roman" w:hAnsi="Times New Roman" w:cs="Times New Roman"/>
        </w:rPr>
        <w:t xml:space="preserve"> Главни разлог зашто су индекси пондерисани тржишном капитализацијом (market-cap</w:t>
      </w:r>
      <w:r w:rsidR="00735E6C">
        <w:rPr>
          <w:rFonts w:ascii="Times New Roman" w:hAnsi="Times New Roman" w:cs="Times New Roman"/>
          <w:lang w:val="sr-Cyrl-RS"/>
        </w:rPr>
        <w:t xml:space="preserve"> </w:t>
      </w:r>
      <w:r w:rsidR="005904FD">
        <w:rPr>
          <w:rFonts w:ascii="Times New Roman" w:hAnsi="Times New Roman" w:cs="Times New Roman"/>
        </w:rPr>
        <w:t xml:space="preserve">weighted) добар прокси за тржишни портфолио </w:t>
      </w:r>
      <w:r w:rsidR="00022622">
        <w:rPr>
          <w:rFonts w:ascii="Times New Roman" w:hAnsi="Times New Roman" w:cs="Times New Roman"/>
        </w:rPr>
        <w:t>је склад са претпоставком да утицај, тј. тежина појединачног асета у индексу треба да буде сразмерна вредности компаније на тржишту. Дакле, они дају већу тежину акцијама већих компанија и обрнуто, што одр</w:t>
      </w:r>
      <w:r w:rsidR="00CB65CE">
        <w:rPr>
          <w:rFonts w:ascii="Times New Roman" w:hAnsi="Times New Roman" w:cs="Times New Roman"/>
        </w:rPr>
        <w:t>а</w:t>
      </w:r>
      <w:r w:rsidR="00022622">
        <w:rPr>
          <w:rFonts w:ascii="Times New Roman" w:hAnsi="Times New Roman" w:cs="Times New Roman"/>
        </w:rPr>
        <w:t xml:space="preserve">жава пропорцонални удео сваке компаније у укупној вредности тржишта. Ако један инвеститор поседује цело тржиште, његов портфолио би био пондерисан по тржишној капитализацији. </w:t>
      </w:r>
    </w:p>
    <w:p w14:paraId="6D845A58" w14:textId="5863A61E" w:rsidR="004C5C3F" w:rsidRDefault="009802DE" w:rsidP="009802DE">
      <w:pPr>
        <w:jc w:val="both"/>
        <w:rPr>
          <w:rFonts w:ascii="Times New Roman" w:hAnsi="Times New Roman" w:cs="Times New Roman"/>
        </w:rPr>
      </w:pPr>
      <w:bookmarkStart w:id="12" w:name="_Hlk162463327"/>
      <w:r w:rsidRPr="009802DE">
        <w:rPr>
          <w:rFonts w:ascii="Times New Roman" w:hAnsi="Times New Roman" w:cs="Times New Roman"/>
        </w:rPr>
        <w:t xml:space="preserve">S&amp;P 500 је индекс који прати перформансе 500 највећих америчких јавних компанија обухватајући различите секторе </w:t>
      </w:r>
      <w:bookmarkEnd w:id="12"/>
      <w:r w:rsidRPr="009802DE">
        <w:rPr>
          <w:rFonts w:ascii="Times New Roman" w:hAnsi="Times New Roman" w:cs="Times New Roman"/>
        </w:rPr>
        <w:t xml:space="preserve">(технологију, здравство, енергију, финансије). Управо та разноврсност помаже у смањењу специфичних ризика сектора пружајући бољи приказ укупног тржишног кретања. Акције тих 500 компанија имају високу ликвидност, односно могу се лако </w:t>
      </w:r>
      <w:r w:rsidRPr="009802DE">
        <w:rPr>
          <w:rFonts w:ascii="Times New Roman" w:hAnsi="Times New Roman" w:cs="Times New Roman"/>
        </w:rPr>
        <w:lastRenderedPageBreak/>
        <w:t>купити или продати на тржишту, а што доприноси бољој процени тренутног стања економије.</w:t>
      </w:r>
      <w:r>
        <w:rPr>
          <w:rFonts w:ascii="Times New Roman" w:hAnsi="Times New Roman" w:cs="Times New Roman"/>
        </w:rPr>
        <w:t xml:space="preserve"> Такође</w:t>
      </w:r>
      <w:r w:rsidR="008B3333">
        <w:rPr>
          <w:rFonts w:ascii="Times New Roman" w:hAnsi="Times New Roman" w:cs="Times New Roman"/>
          <w:lang w:val="sr-Cyrl-RS"/>
        </w:rPr>
        <w:t>,</w:t>
      </w:r>
      <w:r>
        <w:rPr>
          <w:rFonts w:ascii="Times New Roman" w:hAnsi="Times New Roman" w:cs="Times New Roman"/>
        </w:rPr>
        <w:t xml:space="preserve"> њихове акције имају највећу тржишну капитализацију.</w:t>
      </w:r>
      <w:r w:rsidRPr="009802DE">
        <w:rPr>
          <w:rFonts w:ascii="Times New Roman" w:hAnsi="Times New Roman" w:cs="Times New Roman"/>
        </w:rPr>
        <w:t xml:space="preserve"> Важно је напоменути да многе од компанија имају глобално присуство, што даље значи да кретања S&amp;P 500 индекса могу одражавати и међународне економске и политичке догађ</w:t>
      </w:r>
      <w:r w:rsidRPr="007820D6">
        <w:rPr>
          <w:rFonts w:ascii="Times New Roman" w:hAnsi="Times New Roman" w:cs="Times New Roman"/>
        </w:rPr>
        <w:t>аје.</w:t>
      </w:r>
      <w:r w:rsidR="007820D6" w:rsidRPr="007820D6">
        <w:rPr>
          <w:rFonts w:ascii="Times New Roman" w:hAnsi="Times New Roman" w:cs="Times New Roman"/>
        </w:rPr>
        <w:t xml:space="preserve"> Овај индекс спада у групу индекса пондерисаних тржишном вредношћу и израчунавају се тако што се укупна садашња тржишна вредност свих акција одабраних компанија стави у однос са укупном тржишном вредношћу у претходном, односно базном периоду. </w:t>
      </w:r>
    </w:p>
    <w:p w14:paraId="098ADD3B" w14:textId="77777777" w:rsidR="00BD760C" w:rsidRPr="000E426E" w:rsidRDefault="009802DE" w:rsidP="009802DE">
      <w:pPr>
        <w:jc w:val="both"/>
        <w:rPr>
          <w:rFonts w:ascii="Times New Roman" w:hAnsi="Times New Roman" w:cs="Times New Roman"/>
        </w:rPr>
      </w:pPr>
      <w:r>
        <w:rPr>
          <w:rFonts w:ascii="Times New Roman" w:hAnsi="Times New Roman" w:cs="Times New Roman"/>
        </w:rPr>
        <w:t xml:space="preserve">Након израчунавања приноса, утврђујемо утицај системског фактора на кретање приноса CAT акција. Зато регресирамо приносе компаније на приносе </w:t>
      </w:r>
      <w:r w:rsidRPr="00C212B5">
        <w:rPr>
          <w:rFonts w:ascii="Times New Roman" w:hAnsi="Times New Roman" w:cs="Times New Roman"/>
        </w:rPr>
        <w:t xml:space="preserve">S&amp;P 500 </w:t>
      </w:r>
      <w:r>
        <w:rPr>
          <w:rFonts w:ascii="Times New Roman" w:hAnsi="Times New Roman" w:cs="Times New Roman"/>
        </w:rPr>
        <w:t>индекса који традиционално узимамо за репрезент тржишта, односно системског ризика, који се користи као показатељ општег здравља америчке економије.</w:t>
      </w:r>
      <w:r w:rsidRPr="00CC4EB8">
        <w:t xml:space="preserve"> </w:t>
      </w:r>
      <w:r>
        <w:rPr>
          <w:rFonts w:ascii="Times New Roman" w:hAnsi="Times New Roman" w:cs="Times New Roman"/>
        </w:rPr>
        <w:t xml:space="preserve">Практично, прво тражимо betu CAT акција, а за репрезента тржишта узимамо </w:t>
      </w:r>
      <w:bookmarkStart w:id="13" w:name="_Hlk161426318"/>
      <w:r>
        <w:rPr>
          <w:rFonts w:ascii="Times New Roman" w:hAnsi="Times New Roman" w:cs="Times New Roman"/>
        </w:rPr>
        <w:t xml:space="preserve">фонд </w:t>
      </w:r>
      <w:bookmarkStart w:id="14" w:name="_Hlk162463367"/>
      <w:r w:rsidRPr="00C212B5">
        <w:rPr>
          <w:rFonts w:ascii="Times New Roman" w:hAnsi="Times New Roman" w:cs="Times New Roman"/>
        </w:rPr>
        <w:t xml:space="preserve">SPDR S&amp;P 500 ETF </w:t>
      </w:r>
      <w:bookmarkEnd w:id="13"/>
      <w:r w:rsidRPr="00C212B5">
        <w:rPr>
          <w:rFonts w:ascii="Times New Roman" w:hAnsi="Times New Roman" w:cs="Times New Roman"/>
        </w:rPr>
        <w:t>fond (</w:t>
      </w:r>
      <w:r>
        <w:rPr>
          <w:rFonts w:ascii="Times New Roman" w:hAnsi="Times New Roman" w:cs="Times New Roman"/>
        </w:rPr>
        <w:t xml:space="preserve">тикер </w:t>
      </w:r>
      <w:r w:rsidRPr="00C212B5">
        <w:rPr>
          <w:rFonts w:ascii="Times New Roman" w:hAnsi="Times New Roman" w:cs="Times New Roman"/>
        </w:rPr>
        <w:t xml:space="preserve">SPY) </w:t>
      </w:r>
      <w:r>
        <w:rPr>
          <w:rFonts w:ascii="Times New Roman" w:hAnsi="Times New Roman" w:cs="Times New Roman"/>
        </w:rPr>
        <w:t xml:space="preserve">који врло прецизно репликује </w:t>
      </w:r>
      <w:bookmarkStart w:id="15" w:name="_Hlk161436201"/>
      <w:r w:rsidRPr="00C212B5">
        <w:rPr>
          <w:rFonts w:ascii="Times New Roman" w:hAnsi="Times New Roman" w:cs="Times New Roman"/>
        </w:rPr>
        <w:t xml:space="preserve">S&amp;P 500 </w:t>
      </w:r>
      <w:r>
        <w:rPr>
          <w:rFonts w:ascii="Times New Roman" w:hAnsi="Times New Roman" w:cs="Times New Roman"/>
        </w:rPr>
        <w:t>индекс</w:t>
      </w:r>
      <w:bookmarkEnd w:id="15"/>
      <w:r>
        <w:rPr>
          <w:rFonts w:ascii="Times New Roman" w:hAnsi="Times New Roman" w:cs="Times New Roman"/>
        </w:rPr>
        <w:t>.</w:t>
      </w:r>
      <w:r w:rsidR="00BD760C">
        <w:rPr>
          <w:rFonts w:ascii="Times New Roman" w:hAnsi="Times New Roman" w:cs="Times New Roman"/>
        </w:rPr>
        <w:t xml:space="preserve"> </w:t>
      </w:r>
      <w:bookmarkEnd w:id="14"/>
      <w:r w:rsidR="00BD760C" w:rsidRPr="00BD760C">
        <w:rPr>
          <w:rFonts w:ascii="Times New Roman" w:hAnsi="Times New Roman" w:cs="Times New Roman"/>
        </w:rPr>
        <w:t>Fond SPDR S&amp;P 500 ETF (SPY) је екстремно популаран и широко коришћен фонд који прати S&amp;P 500 индекс. Као такав, овај фонд представља репрезентативни пример за инвестирање у целокупно америчко акцијско тржиште, с обзиром да S&amp;P 500 индекс обухвата 500 највећих америчких компанија и сматра се једним од најбољих показатеља опште тежине америчког акцијског тржишта.</w:t>
      </w:r>
      <w:r w:rsidR="000E426E">
        <w:rPr>
          <w:rFonts w:ascii="Times New Roman" w:hAnsi="Times New Roman" w:cs="Times New Roman"/>
        </w:rPr>
        <w:t xml:space="preserve"> Улагањем у фондове се може постићи инвестибилност.</w:t>
      </w:r>
    </w:p>
    <w:p w14:paraId="2F55CC45" w14:textId="77777777" w:rsidR="004A0C2A" w:rsidRDefault="00A328A9" w:rsidP="009802DE">
      <w:pPr>
        <w:jc w:val="both"/>
        <w:rPr>
          <w:rFonts w:ascii="Times New Roman" w:hAnsi="Times New Roman" w:cs="Times New Roman"/>
        </w:rPr>
      </w:pPr>
      <w:bookmarkStart w:id="16" w:name="_Hlk161083910"/>
      <w:r>
        <w:rPr>
          <w:rFonts w:ascii="Times New Roman" w:hAnsi="Times New Roman" w:cs="Times New Roman"/>
        </w:rPr>
        <w:t>У потрази за бољим моделом</w:t>
      </w:r>
      <w:r w:rsidR="004A0C2A" w:rsidRPr="004A0C2A">
        <w:rPr>
          <w:rFonts w:ascii="Times New Roman" w:hAnsi="Times New Roman" w:cs="Times New Roman"/>
        </w:rPr>
        <w:t xml:space="preserve"> </w:t>
      </w:r>
      <w:r w:rsidR="00F41F74">
        <w:rPr>
          <w:rFonts w:ascii="Times New Roman" w:hAnsi="Times New Roman" w:cs="Times New Roman"/>
        </w:rPr>
        <w:t xml:space="preserve">у даљој анализи се </w:t>
      </w:r>
      <w:r w:rsidR="004A0C2A" w:rsidRPr="004A0C2A">
        <w:rPr>
          <w:rFonts w:ascii="Times New Roman" w:hAnsi="Times New Roman" w:cs="Times New Roman"/>
        </w:rPr>
        <w:t>увод</w:t>
      </w:r>
      <w:r w:rsidR="00F41F74">
        <w:rPr>
          <w:rFonts w:ascii="Times New Roman" w:hAnsi="Times New Roman" w:cs="Times New Roman"/>
        </w:rPr>
        <w:t>и</w:t>
      </w:r>
      <w:r w:rsidR="004A0C2A" w:rsidRPr="004A0C2A">
        <w:rPr>
          <w:rFonts w:ascii="Times New Roman" w:hAnsi="Times New Roman" w:cs="Times New Roman"/>
        </w:rPr>
        <w:t xml:space="preserve"> претпоставк</w:t>
      </w:r>
      <w:r w:rsidR="00F41F74">
        <w:rPr>
          <w:rFonts w:ascii="Times New Roman" w:hAnsi="Times New Roman" w:cs="Times New Roman"/>
        </w:rPr>
        <w:t>а</w:t>
      </w:r>
      <w:r w:rsidR="004A0C2A" w:rsidRPr="004A0C2A">
        <w:rPr>
          <w:rFonts w:ascii="Times New Roman" w:hAnsi="Times New Roman" w:cs="Times New Roman"/>
        </w:rPr>
        <w:t xml:space="preserve"> да више системских и идиосинкретичних фактора може прецизније да објасни варијабилност приноса конкретних асета. У овом слу</w:t>
      </w:r>
      <w:r w:rsidR="004A0C2A">
        <w:rPr>
          <w:rFonts w:ascii="Times New Roman" w:hAnsi="Times New Roman" w:cs="Times New Roman"/>
        </w:rPr>
        <w:t>ч</w:t>
      </w:r>
      <w:r w:rsidR="004A0C2A" w:rsidRPr="004A0C2A">
        <w:rPr>
          <w:rFonts w:ascii="Times New Roman" w:hAnsi="Times New Roman" w:cs="Times New Roman"/>
        </w:rPr>
        <w:t xml:space="preserve">ају, поред тржишног индекса, то могу бити индекси </w:t>
      </w:r>
      <w:r w:rsidR="004A0C2A">
        <w:rPr>
          <w:rFonts w:ascii="Times New Roman" w:hAnsi="Times New Roman" w:cs="Times New Roman"/>
        </w:rPr>
        <w:t xml:space="preserve">тржишне волатилности, </w:t>
      </w:r>
      <w:r w:rsidR="004A0C2A" w:rsidRPr="004A0C2A">
        <w:rPr>
          <w:rFonts w:ascii="Times New Roman" w:hAnsi="Times New Roman" w:cs="Times New Roman"/>
        </w:rPr>
        <w:t xml:space="preserve">сектора грађевинске индустрије, </w:t>
      </w:r>
      <w:r w:rsidR="00684465">
        <w:rPr>
          <w:rFonts w:ascii="Times New Roman" w:hAnsi="Times New Roman" w:cs="Times New Roman"/>
        </w:rPr>
        <w:t xml:space="preserve">а потом и </w:t>
      </w:r>
      <w:r w:rsidR="004A0C2A" w:rsidRPr="004A0C2A">
        <w:rPr>
          <w:rFonts w:ascii="Times New Roman" w:hAnsi="Times New Roman" w:cs="Times New Roman"/>
        </w:rPr>
        <w:t>индекси стратешких сировина.</w:t>
      </w:r>
      <w:r w:rsidR="00CC433A" w:rsidRPr="00CC433A">
        <w:t xml:space="preserve"> </w:t>
      </w:r>
    </w:p>
    <w:bookmarkEnd w:id="16"/>
    <w:p w14:paraId="098A3083" w14:textId="77777777" w:rsidR="003C065C" w:rsidRDefault="006A0965" w:rsidP="009802DE">
      <w:pPr>
        <w:jc w:val="both"/>
        <w:rPr>
          <w:rFonts w:ascii="Times New Roman" w:hAnsi="Times New Roman" w:cs="Times New Roman"/>
        </w:rPr>
      </w:pPr>
      <w:r w:rsidRPr="006A0965">
        <w:rPr>
          <w:rFonts w:ascii="Times New Roman" w:hAnsi="Times New Roman" w:cs="Times New Roman"/>
        </w:rPr>
        <w:t xml:space="preserve">^VIX </w:t>
      </w:r>
      <w:r w:rsidR="0066172B" w:rsidRPr="00200C55">
        <w:rPr>
          <w:rFonts w:ascii="Times New Roman" w:hAnsi="Times New Roman" w:cs="Times New Roman"/>
        </w:rPr>
        <w:t>CBOE Volatility Index, познат и као VIX, представља меру очекиване волатилности на тржишту чија је основна сврха да пружи инвеститорима и трговцима информације о тржишној волатилности и очекивањима тржишта у погледу будуће нестабилности.</w:t>
      </w:r>
      <w:r w:rsidR="0066172B" w:rsidRPr="00E56D5F">
        <w:t xml:space="preserve"> </w:t>
      </w:r>
      <w:r w:rsidR="0066172B" w:rsidRPr="00E56D5F">
        <w:rPr>
          <w:rFonts w:ascii="Times New Roman" w:hAnsi="Times New Roman" w:cs="Times New Roman"/>
        </w:rPr>
        <w:t>Развијен је од стране Чикашке берзе опција (</w:t>
      </w:r>
      <w:r w:rsidR="00796A1F" w:rsidRPr="00796A1F">
        <w:rPr>
          <w:rFonts w:ascii="Times New Roman" w:hAnsi="Times New Roman" w:cs="Times New Roman"/>
        </w:rPr>
        <w:t>Chicago Board of Trade</w:t>
      </w:r>
      <w:r w:rsidR="00796A1F">
        <w:rPr>
          <w:rFonts w:ascii="Times New Roman" w:hAnsi="Times New Roman" w:cs="Times New Roman"/>
        </w:rPr>
        <w:t xml:space="preserve"> – </w:t>
      </w:r>
      <w:r w:rsidR="0066172B" w:rsidRPr="00E56D5F">
        <w:rPr>
          <w:rFonts w:ascii="Times New Roman" w:hAnsi="Times New Roman" w:cs="Times New Roman"/>
        </w:rPr>
        <w:t>CBOE).</w:t>
      </w:r>
      <w:r w:rsidR="00EF250B">
        <w:rPr>
          <w:rFonts w:ascii="Times New Roman" w:hAnsi="Times New Roman" w:cs="Times New Roman"/>
        </w:rPr>
        <w:t xml:space="preserve"> </w:t>
      </w:r>
      <w:r w:rsidR="0066172B" w:rsidRPr="00200C55">
        <w:rPr>
          <w:rFonts w:ascii="Times New Roman" w:hAnsi="Times New Roman" w:cs="Times New Roman"/>
        </w:rPr>
        <w:t>Служи за процену ризика и пр</w:t>
      </w:r>
      <w:r w:rsidR="00796A1F">
        <w:rPr>
          <w:rFonts w:ascii="Times New Roman" w:hAnsi="Times New Roman" w:cs="Times New Roman"/>
        </w:rPr>
        <w:t>и</w:t>
      </w:r>
      <w:r w:rsidR="0066172B" w:rsidRPr="00200C55">
        <w:rPr>
          <w:rFonts w:ascii="Times New Roman" w:hAnsi="Times New Roman" w:cs="Times New Roman"/>
        </w:rPr>
        <w:t>лика на тржишту</w:t>
      </w:r>
      <w:r w:rsidR="0066172B">
        <w:rPr>
          <w:rFonts w:ascii="Times New Roman" w:hAnsi="Times New Roman" w:cs="Times New Roman"/>
        </w:rPr>
        <w:t>, тј. режима ниске или високе волатилности на тржишту</w:t>
      </w:r>
      <w:r w:rsidR="0066172B" w:rsidRPr="00200C55">
        <w:rPr>
          <w:rFonts w:ascii="Times New Roman" w:hAnsi="Times New Roman" w:cs="Times New Roman"/>
        </w:rPr>
        <w:t>. Када је VIX низак, то обично указује на очекивање мање променљивости или стабилности на тржишту. С друге стране, висок VIX сугерише на очекивање веће волатилности</w:t>
      </w:r>
      <w:r w:rsidR="0066172B">
        <w:rPr>
          <w:rFonts w:ascii="Times New Roman" w:hAnsi="Times New Roman" w:cs="Times New Roman"/>
        </w:rPr>
        <w:t>, одн</w:t>
      </w:r>
      <w:r w:rsidR="00796A1F">
        <w:rPr>
          <w:rFonts w:ascii="Times New Roman" w:hAnsi="Times New Roman" w:cs="Times New Roman"/>
        </w:rPr>
        <w:t>осно</w:t>
      </w:r>
      <w:r w:rsidR="0066172B">
        <w:rPr>
          <w:rFonts w:ascii="Times New Roman" w:hAnsi="Times New Roman" w:cs="Times New Roman"/>
        </w:rPr>
        <w:t xml:space="preserve"> на повећање несигурности међу инвеститорима</w:t>
      </w:r>
      <w:r w:rsidR="0066172B" w:rsidRPr="00200C55">
        <w:rPr>
          <w:rFonts w:ascii="Times New Roman" w:hAnsi="Times New Roman" w:cs="Times New Roman"/>
        </w:rPr>
        <w:t>. Такође, често се користи као средство за хеџирање ризика у портфолију (смањење губитака</w:t>
      </w:r>
      <w:r w:rsidR="003C065C">
        <w:rPr>
          <w:rFonts w:ascii="Times New Roman" w:hAnsi="Times New Roman" w:cs="Times New Roman"/>
        </w:rPr>
        <w:t xml:space="preserve"> кроз смањење изложености тржишту или прелазак на мање ризичне инвестиције</w:t>
      </w:r>
      <w:r w:rsidR="0066172B" w:rsidRPr="00200C55">
        <w:rPr>
          <w:rFonts w:ascii="Times New Roman" w:hAnsi="Times New Roman" w:cs="Times New Roman"/>
        </w:rPr>
        <w:t xml:space="preserve"> током периода високе волатилности на тржишту).</w:t>
      </w:r>
    </w:p>
    <w:p w14:paraId="1573C2F8" w14:textId="77777777" w:rsidR="007066CD" w:rsidRDefault="00023C59" w:rsidP="009802DE">
      <w:pPr>
        <w:jc w:val="both"/>
        <w:rPr>
          <w:rFonts w:ascii="Times New Roman" w:hAnsi="Times New Roman" w:cs="Times New Roman"/>
        </w:rPr>
      </w:pPr>
      <w:r>
        <w:rPr>
          <w:rFonts w:ascii="Times New Roman" w:hAnsi="Times New Roman" w:cs="Times New Roman"/>
        </w:rPr>
        <w:t>У намери да побољшамо</w:t>
      </w:r>
      <w:r w:rsidR="007066CD" w:rsidRPr="007066CD">
        <w:rPr>
          <w:rFonts w:ascii="Times New Roman" w:hAnsi="Times New Roman" w:cs="Times New Roman"/>
        </w:rPr>
        <w:t xml:space="preserve"> наш модел укључићемо и кретање приноса сирове нафте</w:t>
      </w:r>
      <w:r w:rsidR="001E5D29">
        <w:rPr>
          <w:rFonts w:ascii="Times New Roman" w:hAnsi="Times New Roman" w:cs="Times New Roman"/>
        </w:rPr>
        <w:t xml:space="preserve"> (</w:t>
      </w:r>
      <w:r w:rsidR="001E5D29" w:rsidRPr="001E5D29">
        <w:rPr>
          <w:rFonts w:ascii="Times New Roman" w:hAnsi="Times New Roman" w:cs="Times New Roman"/>
        </w:rPr>
        <w:t>Crude Oil Apr 24</w:t>
      </w:r>
      <w:r w:rsidR="001E5D29">
        <w:rPr>
          <w:rFonts w:ascii="Times New Roman" w:hAnsi="Times New Roman" w:cs="Times New Roman"/>
        </w:rPr>
        <w:t xml:space="preserve"> index – </w:t>
      </w:r>
      <w:r w:rsidR="00EE0AF8">
        <w:rPr>
          <w:rFonts w:ascii="Times New Roman" w:hAnsi="Times New Roman" w:cs="Times New Roman"/>
        </w:rPr>
        <w:t xml:space="preserve">тикер </w:t>
      </w:r>
      <w:r w:rsidR="001E5D29" w:rsidRPr="001E5D29">
        <w:rPr>
          <w:rFonts w:ascii="Times New Roman" w:hAnsi="Times New Roman" w:cs="Times New Roman"/>
        </w:rPr>
        <w:t>CL=F)</w:t>
      </w:r>
      <w:r w:rsidR="007066CD" w:rsidRPr="007066CD">
        <w:rPr>
          <w:rFonts w:ascii="Times New Roman" w:hAnsi="Times New Roman" w:cs="Times New Roman"/>
        </w:rPr>
        <w:t xml:space="preserve">. Нафта је витални енергент који покреће глобалну економију. Њена цена има утицај на трошкове различитих индустрија, на транспорт, пољопривреду, и </w:t>
      </w:r>
      <w:r w:rsidR="00796A1F">
        <w:rPr>
          <w:rFonts w:ascii="Times New Roman" w:hAnsi="Times New Roman" w:cs="Times New Roman"/>
        </w:rPr>
        <w:t>др</w:t>
      </w:r>
      <w:r w:rsidR="007066CD" w:rsidRPr="007066CD">
        <w:rPr>
          <w:rFonts w:ascii="Times New Roman" w:hAnsi="Times New Roman" w:cs="Times New Roman"/>
        </w:rPr>
        <w:t>. Нафта је високо корелисана са другим секторима, зато што је нафта кључна сировина за многе индустрије. Промене цене нафте могу значајно утицати на трошкове индустрија. На пример, енергетски сектор обично има позитивну корелацију са ценом нафте. С друге стране, цена нафте има и макроекономски утицај. Високе цене нафте могу довести до инфлације и смањења куповне моћи, што негативно утиче на економски раст и даље може негативно утицати на цене акција у различитим секторима. Не мање битан је и психолошки утицај – високе цене нафте могу појачати страхове код инвеститора од инфлације и рецесије, а што поново последично може довести до пада цена акција. Ова сировина је често подложна геополитичким нестабилностима које могу утицати на снабдевање, а</w:t>
      </w:r>
      <w:r w:rsidR="00796A1F">
        <w:rPr>
          <w:rFonts w:ascii="Times New Roman" w:hAnsi="Times New Roman" w:cs="Times New Roman"/>
        </w:rPr>
        <w:t>,</w:t>
      </w:r>
      <w:r w:rsidR="007066CD" w:rsidRPr="007066CD">
        <w:rPr>
          <w:rFonts w:ascii="Times New Roman" w:hAnsi="Times New Roman" w:cs="Times New Roman"/>
        </w:rPr>
        <w:t xml:space="preserve"> самим тим</w:t>
      </w:r>
      <w:r w:rsidR="00796A1F">
        <w:rPr>
          <w:rFonts w:ascii="Times New Roman" w:hAnsi="Times New Roman" w:cs="Times New Roman"/>
        </w:rPr>
        <w:t>,</w:t>
      </w:r>
      <w:r w:rsidR="007066CD" w:rsidRPr="007066CD">
        <w:rPr>
          <w:rFonts w:ascii="Times New Roman" w:hAnsi="Times New Roman" w:cs="Times New Roman"/>
        </w:rPr>
        <w:t xml:space="preserve"> и на цене сирове нафте. Из тих разлога се кретање приноса нафте може користити као један од предиктора приликом предвиђања кретања приноса CAT акција.</w:t>
      </w:r>
    </w:p>
    <w:p w14:paraId="150B7279" w14:textId="77777777" w:rsidR="006B5950" w:rsidRDefault="006B5950" w:rsidP="009802DE">
      <w:pPr>
        <w:jc w:val="both"/>
        <w:rPr>
          <w:rFonts w:ascii="Times New Roman" w:hAnsi="Times New Roman" w:cs="Times New Roman"/>
        </w:rPr>
      </w:pPr>
      <w:bookmarkStart w:id="17" w:name="_Hlk161426358"/>
      <w:r w:rsidRPr="006B5950">
        <w:rPr>
          <w:rFonts w:ascii="Times New Roman" w:hAnsi="Times New Roman" w:cs="Times New Roman"/>
        </w:rPr>
        <w:t>Invesco Dynamic Building and Construction ETF</w:t>
      </w:r>
      <w:r>
        <w:rPr>
          <w:rFonts w:ascii="Times New Roman" w:hAnsi="Times New Roman" w:cs="Times New Roman"/>
        </w:rPr>
        <w:t xml:space="preserve"> фонд </w:t>
      </w:r>
      <w:bookmarkEnd w:id="17"/>
      <w:r>
        <w:rPr>
          <w:rFonts w:ascii="Times New Roman" w:hAnsi="Times New Roman" w:cs="Times New Roman"/>
        </w:rPr>
        <w:t xml:space="preserve">(тикер PKB) је </w:t>
      </w:r>
      <w:bookmarkStart w:id="18" w:name="_Hlk162464247"/>
      <w:r>
        <w:rPr>
          <w:rFonts w:ascii="Times New Roman" w:hAnsi="Times New Roman" w:cs="Times New Roman"/>
        </w:rPr>
        <w:t>инвестициони фонд који прати перформансе компанија који су лидери у грађевинском сектор</w:t>
      </w:r>
      <w:bookmarkEnd w:id="18"/>
      <w:r>
        <w:rPr>
          <w:rFonts w:ascii="Times New Roman" w:hAnsi="Times New Roman" w:cs="Times New Roman"/>
        </w:rPr>
        <w:t xml:space="preserve">у. Овај фонд омогућава инвеститорима да диверсификују свој портфолио кроз улагање у акције различитих компанија </w:t>
      </w:r>
      <w:r>
        <w:rPr>
          <w:rFonts w:ascii="Times New Roman" w:hAnsi="Times New Roman" w:cs="Times New Roman"/>
        </w:rPr>
        <w:lastRenderedPageBreak/>
        <w:t>које су уско повезане са изградњом и грађевинском делатношћу.</w:t>
      </w:r>
      <w:r w:rsidR="00FD0CFD" w:rsidRPr="00FD0CFD">
        <w:t xml:space="preserve"> </w:t>
      </w:r>
      <w:r w:rsidR="00FD0CFD" w:rsidRPr="00FD0CFD">
        <w:rPr>
          <w:rFonts w:ascii="Times New Roman" w:hAnsi="Times New Roman" w:cs="Times New Roman"/>
        </w:rPr>
        <w:t xml:space="preserve">Претпоставка је да ће тражња у грађевинском сектору утицати на тражњу за грађевинским и рударским машинама, дизалицама, тешким грађевинским возилима. Њихова тражња директно зависи од потреба у грађевинском сектору. Када сектор расте, онда и тражња за CAT-овим производима расте. С друге стране, </w:t>
      </w:r>
      <w:r w:rsidR="00313391">
        <w:rPr>
          <w:rFonts w:ascii="Times New Roman" w:hAnsi="Times New Roman" w:cs="Times New Roman"/>
        </w:rPr>
        <w:t>ова</w:t>
      </w:r>
      <w:r w:rsidR="00FD0CFD" w:rsidRPr="00FD0CFD">
        <w:rPr>
          <w:rFonts w:ascii="Times New Roman" w:hAnsi="Times New Roman" w:cs="Times New Roman"/>
        </w:rPr>
        <w:t xml:space="preserve"> претпоставка има смисла јер индустријски сектор често показује цикличне трендове. Током економске експанзије, када се много пројеката планира и спроводи, обично расте тражња за грађевинским машинама. Обрнуто је током економске рецесије. Такође, Caterpillar има глобалну присутност, а читав грађевински сектор је глобално повезан. Промене у грађевинским активностима у различитим деловима света значајно утичу на приходе наше компаније. Због своје централне улоге у многим индустријским пројектима, тражња за грађевинским машинама се може сматрати индикатором економске активности, односно општег здравља економије. Ако сектор расте, то може указивати на општи економски раст.</w:t>
      </w:r>
    </w:p>
    <w:p w14:paraId="73333F48" w14:textId="3946FE02" w:rsidR="001E5D29" w:rsidRDefault="001E5D29" w:rsidP="009802DE">
      <w:pPr>
        <w:jc w:val="both"/>
        <w:rPr>
          <w:rFonts w:ascii="Times New Roman" w:hAnsi="Times New Roman" w:cs="Times New Roman"/>
        </w:rPr>
      </w:pPr>
      <w:r>
        <w:rPr>
          <w:rFonts w:ascii="Times New Roman" w:hAnsi="Times New Roman" w:cs="Times New Roman"/>
        </w:rPr>
        <w:t xml:space="preserve">Као кандидате за могуће додатне случајне променљиве (регресоре) </w:t>
      </w:r>
      <w:r w:rsidR="000017CD">
        <w:rPr>
          <w:rFonts w:ascii="Times New Roman" w:hAnsi="Times New Roman" w:cs="Times New Roman"/>
        </w:rPr>
        <w:t xml:space="preserve">у покушају да боље објаснимо кретање приноса CAT акција </w:t>
      </w:r>
      <w:r>
        <w:rPr>
          <w:rFonts w:ascii="Times New Roman" w:hAnsi="Times New Roman" w:cs="Times New Roman"/>
        </w:rPr>
        <w:t>разматра</w:t>
      </w:r>
      <w:r w:rsidR="00DC2F0C">
        <w:rPr>
          <w:rFonts w:ascii="Times New Roman" w:hAnsi="Times New Roman" w:cs="Times New Roman"/>
        </w:rPr>
        <w:t>ћемо</w:t>
      </w:r>
      <w:r>
        <w:rPr>
          <w:rFonts w:ascii="Times New Roman" w:hAnsi="Times New Roman" w:cs="Times New Roman"/>
        </w:rPr>
        <w:t xml:space="preserve"> </w:t>
      </w:r>
      <w:r w:rsidR="00EE0AF8" w:rsidRPr="00EE0AF8">
        <w:rPr>
          <w:rFonts w:ascii="Times New Roman" w:hAnsi="Times New Roman" w:cs="Times New Roman"/>
        </w:rPr>
        <w:t>кретање цен</w:t>
      </w:r>
      <w:r w:rsidR="0046055A">
        <w:rPr>
          <w:rFonts w:ascii="Times New Roman" w:hAnsi="Times New Roman" w:cs="Times New Roman"/>
        </w:rPr>
        <w:t>а</w:t>
      </w:r>
      <w:r w:rsidR="00EE0AF8" w:rsidRPr="00EE0AF8">
        <w:rPr>
          <w:rFonts w:ascii="Times New Roman" w:hAnsi="Times New Roman" w:cs="Times New Roman"/>
        </w:rPr>
        <w:t xml:space="preserve"> </w:t>
      </w:r>
      <w:r w:rsidR="000017CD" w:rsidRPr="000017CD">
        <w:rPr>
          <w:rFonts w:ascii="Times New Roman" w:hAnsi="Times New Roman" w:cs="Times New Roman"/>
        </w:rPr>
        <w:t>важн</w:t>
      </w:r>
      <w:r w:rsidR="0046055A">
        <w:rPr>
          <w:rFonts w:ascii="Times New Roman" w:hAnsi="Times New Roman" w:cs="Times New Roman"/>
        </w:rPr>
        <w:t>их</w:t>
      </w:r>
      <w:r w:rsidR="000017CD" w:rsidRPr="000017CD">
        <w:rPr>
          <w:rFonts w:ascii="Times New Roman" w:hAnsi="Times New Roman" w:cs="Times New Roman"/>
        </w:rPr>
        <w:t xml:space="preserve"> сировин</w:t>
      </w:r>
      <w:r w:rsidR="0046055A">
        <w:rPr>
          <w:rFonts w:ascii="Times New Roman" w:hAnsi="Times New Roman" w:cs="Times New Roman"/>
        </w:rPr>
        <w:t>а</w:t>
      </w:r>
      <w:r w:rsidR="000017CD" w:rsidRPr="000017CD">
        <w:rPr>
          <w:rFonts w:ascii="Times New Roman" w:hAnsi="Times New Roman" w:cs="Times New Roman"/>
        </w:rPr>
        <w:t xml:space="preserve"> које Caterpillar користи у својој производњи</w:t>
      </w:r>
      <w:r w:rsidR="0046055A">
        <w:rPr>
          <w:rFonts w:ascii="Times New Roman" w:hAnsi="Times New Roman" w:cs="Times New Roman"/>
        </w:rPr>
        <w:t xml:space="preserve">, </w:t>
      </w:r>
      <w:bookmarkStart w:id="19" w:name="_Hlk162436116"/>
      <w:r w:rsidR="0046055A">
        <w:rPr>
          <w:rFonts w:ascii="Times New Roman" w:hAnsi="Times New Roman" w:cs="Times New Roman"/>
        </w:rPr>
        <w:t>попут</w:t>
      </w:r>
      <w:r w:rsidR="000017CD" w:rsidRPr="000017CD">
        <w:rPr>
          <w:rFonts w:ascii="Times New Roman" w:hAnsi="Times New Roman" w:cs="Times New Roman"/>
        </w:rPr>
        <w:t xml:space="preserve"> </w:t>
      </w:r>
      <w:r w:rsidR="00EE0AF8" w:rsidRPr="00EE0AF8">
        <w:rPr>
          <w:rFonts w:ascii="Times New Roman" w:hAnsi="Times New Roman" w:cs="Times New Roman"/>
        </w:rPr>
        <w:t xml:space="preserve">бакра (узимамо приносе акција </w:t>
      </w:r>
      <w:bookmarkStart w:id="20" w:name="_Hlk162436804"/>
      <w:r w:rsidR="00EE0AF8" w:rsidRPr="00EE0AF8">
        <w:rPr>
          <w:rFonts w:ascii="Times New Roman" w:hAnsi="Times New Roman" w:cs="Times New Roman"/>
        </w:rPr>
        <w:t>SCCO</w:t>
      </w:r>
      <w:r w:rsidR="001203BE">
        <w:rPr>
          <w:rFonts w:ascii="Times New Roman" w:hAnsi="Times New Roman" w:cs="Times New Roman"/>
        </w:rPr>
        <w:t xml:space="preserve"> – </w:t>
      </w:r>
      <w:r w:rsidR="00EE0AF8" w:rsidRPr="00EE0AF8">
        <w:rPr>
          <w:rFonts w:ascii="Times New Roman" w:hAnsi="Times New Roman" w:cs="Times New Roman"/>
        </w:rPr>
        <w:t>Southern Copper Corporation), челика (STLD</w:t>
      </w:r>
      <w:r w:rsidR="001203BE">
        <w:rPr>
          <w:rFonts w:ascii="Times New Roman" w:hAnsi="Times New Roman" w:cs="Times New Roman"/>
        </w:rPr>
        <w:t xml:space="preserve"> – </w:t>
      </w:r>
      <w:r w:rsidR="00EE0AF8" w:rsidRPr="00EE0AF8">
        <w:rPr>
          <w:rFonts w:ascii="Times New Roman" w:hAnsi="Times New Roman" w:cs="Times New Roman"/>
        </w:rPr>
        <w:t>Steel Dynamics)</w:t>
      </w:r>
      <w:r w:rsidR="000017CD">
        <w:rPr>
          <w:rFonts w:ascii="Times New Roman" w:hAnsi="Times New Roman" w:cs="Times New Roman"/>
        </w:rPr>
        <w:t>,</w:t>
      </w:r>
      <w:bookmarkStart w:id="21" w:name="_Hlk160643687"/>
      <w:r w:rsidR="000017CD" w:rsidRPr="000017CD">
        <w:rPr>
          <w:rFonts w:ascii="Times New Roman" w:hAnsi="Times New Roman" w:cs="Times New Roman"/>
        </w:rPr>
        <w:t xml:space="preserve"> </w:t>
      </w:r>
      <w:r w:rsidR="000017CD" w:rsidRPr="0062292C">
        <w:rPr>
          <w:rFonts w:ascii="Times New Roman" w:hAnsi="Times New Roman" w:cs="Times New Roman"/>
        </w:rPr>
        <w:t>гума (BRDCY</w:t>
      </w:r>
      <w:r w:rsidR="001203BE">
        <w:rPr>
          <w:rFonts w:ascii="Times New Roman" w:hAnsi="Times New Roman" w:cs="Times New Roman"/>
        </w:rPr>
        <w:t xml:space="preserve"> – </w:t>
      </w:r>
      <w:r w:rsidR="000017CD" w:rsidRPr="0062292C">
        <w:rPr>
          <w:rFonts w:ascii="Times New Roman" w:hAnsi="Times New Roman" w:cs="Times New Roman"/>
        </w:rPr>
        <w:t>Bridgestone Corporation)</w:t>
      </w:r>
      <w:r w:rsidR="00DC2F0C">
        <w:rPr>
          <w:rFonts w:ascii="Times New Roman" w:hAnsi="Times New Roman" w:cs="Times New Roman"/>
        </w:rPr>
        <w:t xml:space="preserve">, </w:t>
      </w:r>
      <w:r w:rsidR="000017CD" w:rsidRPr="0062292C">
        <w:rPr>
          <w:rFonts w:ascii="Times New Roman" w:hAnsi="Times New Roman" w:cs="Times New Roman"/>
        </w:rPr>
        <w:t>алуминијума (ALL – The Allstate Corporation)</w:t>
      </w:r>
      <w:r w:rsidR="00DC2F0C">
        <w:rPr>
          <w:rFonts w:ascii="Times New Roman" w:hAnsi="Times New Roman" w:cs="Times New Roman"/>
        </w:rPr>
        <w:t>,</w:t>
      </w:r>
      <w:r w:rsidR="0013738E">
        <w:rPr>
          <w:rFonts w:ascii="Times New Roman" w:hAnsi="Times New Roman" w:cs="Times New Roman"/>
        </w:rPr>
        <w:t xml:space="preserve"> електричне енергије (NEE – NextEra Energy),</w:t>
      </w:r>
      <w:r w:rsidR="00DC2F0C">
        <w:rPr>
          <w:rFonts w:ascii="Times New Roman" w:hAnsi="Times New Roman" w:cs="Times New Roman"/>
        </w:rPr>
        <w:t xml:space="preserve"> затим </w:t>
      </w:r>
      <w:bookmarkStart w:id="22" w:name="_Hlk162463175"/>
      <w:r w:rsidR="00DC2F0C">
        <w:rPr>
          <w:rFonts w:ascii="Times New Roman" w:hAnsi="Times New Roman" w:cs="Times New Roman"/>
        </w:rPr>
        <w:t xml:space="preserve">алата, грађевинских производа </w:t>
      </w:r>
      <w:bookmarkEnd w:id="22"/>
      <w:r w:rsidR="00DC2F0C">
        <w:rPr>
          <w:rFonts w:ascii="Times New Roman" w:hAnsi="Times New Roman" w:cs="Times New Roman"/>
        </w:rPr>
        <w:t>(приноси акција HD – The Home Depot</w:t>
      </w:r>
      <w:bookmarkEnd w:id="20"/>
      <w:r w:rsidR="00DC2F0C">
        <w:rPr>
          <w:rFonts w:ascii="Times New Roman" w:hAnsi="Times New Roman" w:cs="Times New Roman"/>
        </w:rPr>
        <w:t>)</w:t>
      </w:r>
      <w:r w:rsidR="000017CD" w:rsidRPr="0062292C">
        <w:rPr>
          <w:rFonts w:ascii="Times New Roman" w:hAnsi="Times New Roman" w:cs="Times New Roman"/>
        </w:rPr>
        <w:t>.</w:t>
      </w:r>
      <w:r w:rsidR="000017CD">
        <w:rPr>
          <w:rFonts w:ascii="Times New Roman" w:hAnsi="Times New Roman" w:cs="Times New Roman"/>
        </w:rPr>
        <w:t xml:space="preserve"> </w:t>
      </w:r>
      <w:bookmarkEnd w:id="19"/>
      <w:r w:rsidR="000017CD" w:rsidRPr="000017CD">
        <w:rPr>
          <w:rFonts w:ascii="Times New Roman" w:hAnsi="Times New Roman" w:cs="Times New Roman"/>
        </w:rPr>
        <w:t xml:space="preserve">И овде </w:t>
      </w:r>
      <w:r w:rsidR="00313391">
        <w:rPr>
          <w:rFonts w:ascii="Times New Roman" w:hAnsi="Times New Roman" w:cs="Times New Roman"/>
        </w:rPr>
        <w:t>се посебан акценат ставља да се подаци преузети са Yahoo Finance</w:t>
      </w:r>
      <w:r w:rsidR="00892BB9">
        <w:rPr>
          <w:rFonts w:ascii="Times New Roman" w:hAnsi="Times New Roman" w:cs="Times New Roman"/>
          <w:lang w:val="sr-Cyrl-RS"/>
        </w:rPr>
        <w:t>-а</w:t>
      </w:r>
      <w:r w:rsidR="00313391">
        <w:rPr>
          <w:rFonts w:ascii="Times New Roman" w:hAnsi="Times New Roman" w:cs="Times New Roman"/>
        </w:rPr>
        <w:t xml:space="preserve"> односе на истоветни временски интервал. </w:t>
      </w:r>
      <w:r w:rsidR="000017CD" w:rsidRPr="0062292C">
        <w:rPr>
          <w:rFonts w:ascii="Times New Roman" w:hAnsi="Times New Roman" w:cs="Times New Roman"/>
        </w:rPr>
        <w:t xml:space="preserve">У овом делу је битно истаћи да је </w:t>
      </w:r>
      <w:bookmarkStart w:id="23" w:name="_Hlk161090041"/>
      <w:r w:rsidR="000017CD" w:rsidRPr="0062292C">
        <w:rPr>
          <w:rFonts w:ascii="Times New Roman" w:hAnsi="Times New Roman" w:cs="Times New Roman"/>
        </w:rPr>
        <w:t>Bridgestone</w:t>
      </w:r>
      <w:bookmarkEnd w:id="23"/>
      <w:r w:rsidR="000017CD" w:rsidRPr="0062292C">
        <w:rPr>
          <w:rFonts w:ascii="Times New Roman" w:hAnsi="Times New Roman" w:cs="Times New Roman"/>
        </w:rPr>
        <w:t xml:space="preserve"> проглашен за најбитнијег добављача 2022. године</w:t>
      </w:r>
      <w:r w:rsidR="005420CB">
        <w:rPr>
          <w:rFonts w:ascii="Times New Roman" w:hAnsi="Times New Roman" w:cs="Times New Roman"/>
        </w:rPr>
        <w:t xml:space="preserve"> (</w:t>
      </w:r>
      <w:hyperlink r:id="rId8" w:history="1">
        <w:r w:rsidR="005420CB" w:rsidRPr="00726FA5">
          <w:rPr>
            <w:rStyle w:val="Hyperlink"/>
            <w:rFonts w:ascii="Times New Roman" w:hAnsi="Times New Roman" w:cs="Times New Roman"/>
          </w:rPr>
          <w:t>https://www.caterpillar.com/</w:t>
        </w:r>
      </w:hyperlink>
      <w:r w:rsidR="005420CB">
        <w:rPr>
          <w:rFonts w:ascii="Times New Roman" w:hAnsi="Times New Roman" w:cs="Times New Roman"/>
        </w:rPr>
        <w:t xml:space="preserve"> , </w:t>
      </w:r>
      <w:bookmarkStart w:id="24" w:name="_Hlk161428992"/>
      <w:r w:rsidR="005420CB">
        <w:rPr>
          <w:rFonts w:ascii="Times New Roman" w:hAnsi="Times New Roman" w:cs="Times New Roman"/>
        </w:rPr>
        <w:t>приступљено 27.02.2024. године</w:t>
      </w:r>
      <w:bookmarkEnd w:id="24"/>
      <w:r w:rsidR="005420CB">
        <w:rPr>
          <w:rFonts w:ascii="Times New Roman" w:hAnsi="Times New Roman" w:cs="Times New Roman"/>
        </w:rPr>
        <w:t>)</w:t>
      </w:r>
      <w:r w:rsidR="000017CD" w:rsidRPr="0062292C">
        <w:rPr>
          <w:rFonts w:ascii="Times New Roman" w:hAnsi="Times New Roman" w:cs="Times New Roman"/>
        </w:rPr>
        <w:t>.</w:t>
      </w:r>
      <w:bookmarkEnd w:id="21"/>
    </w:p>
    <w:p w14:paraId="100F9742" w14:textId="4EB10CE9" w:rsidR="00CC433A" w:rsidRDefault="009E732A" w:rsidP="00D1721C">
      <w:pPr>
        <w:jc w:val="both"/>
      </w:pPr>
      <w:r w:rsidRPr="009E732A">
        <w:rPr>
          <w:rFonts w:ascii="Times New Roman" w:hAnsi="Times New Roman" w:cs="Times New Roman"/>
        </w:rPr>
        <w:t>Као потенцијални предиктор испитиваћемо и кретање цене злата</w:t>
      </w:r>
      <w:r w:rsidR="000017CD">
        <w:rPr>
          <w:rFonts w:ascii="Times New Roman" w:hAnsi="Times New Roman" w:cs="Times New Roman"/>
        </w:rPr>
        <w:t xml:space="preserve"> (GLD)</w:t>
      </w:r>
      <w:r w:rsidRPr="009E732A">
        <w:rPr>
          <w:rFonts w:ascii="Times New Roman" w:hAnsi="Times New Roman" w:cs="Times New Roman"/>
        </w:rPr>
        <w:t>. Злато је инструмент у који се улаже ради очувања вредности и као хеџинг инструмент јер је кроз историју доказано да кретање цене злата има супротан тренд у односу на тржиште, посебно у тренуцима високе волатилности, тј. несигурности. Наиме, инвеститори често у време геополитичких сукоба, глобалних криза своја средства усмеравају у злато</w:t>
      </w:r>
      <w:r w:rsidR="008435EC">
        <w:rPr>
          <w:rFonts w:ascii="Times New Roman" w:hAnsi="Times New Roman" w:cs="Times New Roman"/>
          <w:lang w:val="sr-Cyrl-RS"/>
        </w:rPr>
        <w:t xml:space="preserve"> као ,,сигурну луку“.</w:t>
      </w:r>
      <w:r w:rsidRPr="009E732A">
        <w:rPr>
          <w:rFonts w:ascii="Times New Roman" w:hAnsi="Times New Roman" w:cs="Times New Roman"/>
        </w:rPr>
        <w:t xml:space="preserve"> Када расту страхови од рецесије, инфлације, инвеститори се такође често окрећу злату као сигурном месту за чување свог новца. С друге стране, укључивање злата у портфолио помаже смањењу укупног ризика, одн</w:t>
      </w:r>
      <w:r w:rsidR="00313391">
        <w:rPr>
          <w:rFonts w:ascii="Times New Roman" w:hAnsi="Times New Roman" w:cs="Times New Roman"/>
        </w:rPr>
        <w:t>осно</w:t>
      </w:r>
      <w:r w:rsidRPr="009E732A">
        <w:rPr>
          <w:rFonts w:ascii="Times New Roman" w:hAnsi="Times New Roman" w:cs="Times New Roman"/>
        </w:rPr>
        <w:t xml:space="preserve"> диверсификацију портфолија</w:t>
      </w:r>
      <w:r w:rsidR="00313391">
        <w:rPr>
          <w:rFonts w:ascii="Times New Roman" w:hAnsi="Times New Roman" w:cs="Times New Roman"/>
        </w:rPr>
        <w:t>,</w:t>
      </w:r>
      <w:r w:rsidRPr="009E732A">
        <w:rPr>
          <w:rFonts w:ascii="Times New Roman" w:hAnsi="Times New Roman" w:cs="Times New Roman"/>
        </w:rPr>
        <w:t xml:space="preserve"> јер злато најчешће има ниску корелацију са другим акцијама. Злато се лако може и купити и продати, што га чини привлачним за инвеститоре који желе брзо да прилагоде свој портфолио у одговору на променљиве и неизвесне тржишне услове. Из истих разлога се традиционално користи и као резерва централних банака</w:t>
      </w:r>
      <w:r w:rsidR="00313391">
        <w:rPr>
          <w:rFonts w:ascii="Times New Roman" w:hAnsi="Times New Roman" w:cs="Times New Roman"/>
        </w:rPr>
        <w:t>,</w:t>
      </w:r>
      <w:r w:rsidRPr="009E732A">
        <w:rPr>
          <w:rFonts w:ascii="Times New Roman" w:hAnsi="Times New Roman" w:cs="Times New Roman"/>
        </w:rPr>
        <w:t xml:space="preserve"> будући да се сматра универзалним симболом вредности и богатства.</w:t>
      </w:r>
      <w:bookmarkStart w:id="25" w:name="_Hlk159586228"/>
      <w:r w:rsidR="00CC433A" w:rsidRPr="00CC433A">
        <w:t xml:space="preserve"> </w:t>
      </w:r>
    </w:p>
    <w:p w14:paraId="412A7A3F" w14:textId="77777777" w:rsidR="00946C59" w:rsidRPr="00FD5AA2" w:rsidRDefault="00946C59" w:rsidP="00FD5AA2">
      <w:pPr>
        <w:jc w:val="both"/>
        <w:rPr>
          <w:rFonts w:ascii="Times New Roman" w:hAnsi="Times New Roman" w:cs="Times New Roman"/>
        </w:rPr>
      </w:pPr>
    </w:p>
    <w:p w14:paraId="15A0905E" w14:textId="77777777" w:rsidR="00410C09" w:rsidRDefault="00DE08F4" w:rsidP="00BD3167">
      <w:pPr>
        <w:jc w:val="both"/>
        <w:rPr>
          <w:rFonts w:ascii="Times New Roman" w:hAnsi="Times New Roman" w:cs="Times New Roman"/>
          <w:b/>
          <w:bCs/>
        </w:rPr>
      </w:pPr>
      <w:r>
        <w:rPr>
          <w:rFonts w:ascii="Times New Roman" w:hAnsi="Times New Roman" w:cs="Times New Roman"/>
          <w:b/>
          <w:bCs/>
        </w:rPr>
        <w:t>Резултати истраживања</w:t>
      </w:r>
    </w:p>
    <w:p w14:paraId="4BCF1295" w14:textId="6E4B362C" w:rsidR="00410C09" w:rsidRDefault="00410C09" w:rsidP="00410C09">
      <w:pPr>
        <w:jc w:val="both"/>
        <w:rPr>
          <w:rFonts w:ascii="Times New Roman" w:hAnsi="Times New Roman" w:cs="Times New Roman"/>
        </w:rPr>
      </w:pPr>
      <w:r>
        <w:rPr>
          <w:rFonts w:ascii="Times New Roman" w:hAnsi="Times New Roman" w:cs="Times New Roman"/>
        </w:rPr>
        <w:t>Р</w:t>
      </w:r>
      <w:r w:rsidRPr="00410C09">
        <w:rPr>
          <w:rFonts w:ascii="Times New Roman" w:hAnsi="Times New Roman" w:cs="Times New Roman"/>
        </w:rPr>
        <w:t>азличити фактори имају различите значајне ефекте</w:t>
      </w:r>
      <w:r>
        <w:rPr>
          <w:rFonts w:ascii="Times New Roman" w:hAnsi="Times New Roman" w:cs="Times New Roman"/>
        </w:rPr>
        <w:t xml:space="preserve"> на одређену променљиву</w:t>
      </w:r>
      <w:r w:rsidRPr="00410C09">
        <w:rPr>
          <w:rFonts w:ascii="Times New Roman" w:hAnsi="Times New Roman" w:cs="Times New Roman"/>
        </w:rPr>
        <w:t>. Коначни модел треба да</w:t>
      </w:r>
      <w:r w:rsidR="008435EC">
        <w:rPr>
          <w:rFonts w:ascii="Times New Roman" w:hAnsi="Times New Roman" w:cs="Times New Roman"/>
          <w:lang w:val="sr-Cyrl-RS"/>
        </w:rPr>
        <w:t xml:space="preserve"> буде ,,оптималан модел“,</w:t>
      </w:r>
      <w:r w:rsidRPr="00410C09">
        <w:rPr>
          <w:rFonts w:ascii="Times New Roman" w:hAnsi="Times New Roman" w:cs="Times New Roman"/>
        </w:rPr>
        <w:t xml:space="preserve"> </w:t>
      </w:r>
      <w:r>
        <w:rPr>
          <w:rFonts w:ascii="Times New Roman" w:hAnsi="Times New Roman" w:cs="Times New Roman"/>
        </w:rPr>
        <w:t>онај</w:t>
      </w:r>
      <w:r w:rsidRPr="00410C09">
        <w:rPr>
          <w:rFonts w:ascii="Times New Roman" w:hAnsi="Times New Roman" w:cs="Times New Roman"/>
        </w:rPr>
        <w:t xml:space="preserve"> који је најједноставнији и најефикаснији, тако да је потребно уклонити неке безначајне факторе</w:t>
      </w:r>
      <w:r w:rsidRPr="00DE08F4">
        <w:rPr>
          <w:rFonts w:ascii="Times New Roman" w:hAnsi="Times New Roman" w:cs="Times New Roman"/>
        </w:rPr>
        <w:t xml:space="preserve">. </w:t>
      </w:r>
      <w:r w:rsidR="00D1721C" w:rsidRPr="00DE08F4">
        <w:rPr>
          <w:rFonts w:ascii="Times New Roman" w:hAnsi="Times New Roman" w:cs="Times New Roman"/>
        </w:rPr>
        <w:t xml:space="preserve">У нашој анализи смо зато </w:t>
      </w:r>
      <w:r w:rsidRPr="00DE08F4">
        <w:rPr>
          <w:rFonts w:ascii="Times New Roman" w:hAnsi="Times New Roman" w:cs="Times New Roman"/>
        </w:rPr>
        <w:t>користили постепену регресију да бисмо изабрали оптимални модел. Постепена регресија је метод који бира независне променљиве</w:t>
      </w:r>
      <w:r w:rsidR="005420CB">
        <w:rPr>
          <w:rFonts w:ascii="Times New Roman" w:hAnsi="Times New Roman" w:cs="Times New Roman"/>
        </w:rPr>
        <w:t xml:space="preserve"> (Chen, 2020)</w:t>
      </w:r>
      <w:r w:rsidR="00C610E4">
        <w:rPr>
          <w:rFonts w:ascii="Times New Roman" w:hAnsi="Times New Roman" w:cs="Times New Roman"/>
        </w:rPr>
        <w:t>.</w:t>
      </w:r>
      <w:r w:rsidR="005420CB" w:rsidRPr="00DE08F4">
        <w:rPr>
          <w:rFonts w:ascii="Times New Roman" w:hAnsi="Times New Roman" w:cs="Times New Roman"/>
        </w:rPr>
        <w:t xml:space="preserve"> </w:t>
      </w:r>
      <w:r w:rsidR="00DE08F4" w:rsidRPr="00DE08F4">
        <w:rPr>
          <w:rFonts w:ascii="Times New Roman" w:hAnsi="Times New Roman" w:cs="Times New Roman"/>
        </w:rPr>
        <w:t>У овом истраживању ће бити примењена</w:t>
      </w:r>
      <w:r w:rsidR="00DE08F4">
        <w:rPr>
          <w:rFonts w:ascii="Times New Roman" w:hAnsi="Times New Roman" w:cs="Times New Roman"/>
        </w:rPr>
        <w:t xml:space="preserve"> постепена регресија уназад, односно метода у почетку узима све потенцијалне</w:t>
      </w:r>
      <w:r w:rsidR="00F75187">
        <w:rPr>
          <w:rFonts w:ascii="Times New Roman" w:hAnsi="Times New Roman" w:cs="Times New Roman"/>
        </w:rPr>
        <w:t xml:space="preserve"> изабране</w:t>
      </w:r>
      <w:r w:rsidR="00DE08F4">
        <w:rPr>
          <w:rFonts w:ascii="Times New Roman" w:hAnsi="Times New Roman" w:cs="Times New Roman"/>
        </w:rPr>
        <w:t xml:space="preserve"> факторе у модел линеарне регресије, а потом, у зависности од тумачења резултата</w:t>
      </w:r>
      <w:r w:rsidR="00F75187">
        <w:rPr>
          <w:rFonts w:ascii="Times New Roman" w:hAnsi="Times New Roman" w:cs="Times New Roman"/>
        </w:rPr>
        <w:t>,</w:t>
      </w:r>
      <w:r w:rsidR="00DE08F4">
        <w:rPr>
          <w:rFonts w:ascii="Times New Roman" w:hAnsi="Times New Roman" w:cs="Times New Roman"/>
        </w:rPr>
        <w:t xml:space="preserve"> елиминише један по један.</w:t>
      </w:r>
    </w:p>
    <w:p w14:paraId="6208ACF4" w14:textId="77777777" w:rsidR="00D1721C" w:rsidRDefault="00D1721C" w:rsidP="00D1721C">
      <w:pPr>
        <w:jc w:val="both"/>
        <w:rPr>
          <w:rFonts w:ascii="Times New Roman" w:hAnsi="Times New Roman" w:cs="Times New Roman"/>
        </w:rPr>
      </w:pPr>
      <w:r>
        <w:rPr>
          <w:rFonts w:ascii="Times New Roman" w:hAnsi="Times New Roman" w:cs="Times New Roman"/>
        </w:rPr>
        <w:t xml:space="preserve">У нашем примеру дневни приноси CAT акција је зависна варијабла, а независне варијабле су, поред SPY индекса који приказује системску компоненту, дневни приноси преосталих </w:t>
      </w:r>
      <w:r w:rsidR="00A27E5C">
        <w:rPr>
          <w:rFonts w:ascii="Times New Roman" w:hAnsi="Times New Roman" w:cs="Times New Roman"/>
        </w:rPr>
        <w:t>десет</w:t>
      </w:r>
      <w:r w:rsidR="0002128A">
        <w:rPr>
          <w:rFonts w:ascii="Times New Roman" w:hAnsi="Times New Roman" w:cs="Times New Roman"/>
        </w:rPr>
        <w:t xml:space="preserve"> </w:t>
      </w:r>
      <w:r w:rsidR="007D7884">
        <w:rPr>
          <w:rFonts w:ascii="Times New Roman" w:hAnsi="Times New Roman" w:cs="Times New Roman"/>
        </w:rPr>
        <w:t>индекса и акција</w:t>
      </w:r>
      <w:r>
        <w:rPr>
          <w:rFonts w:ascii="Times New Roman" w:hAnsi="Times New Roman" w:cs="Times New Roman"/>
        </w:rPr>
        <w:t>.</w:t>
      </w:r>
    </w:p>
    <w:p w14:paraId="01DFE9C8" w14:textId="1BF07550" w:rsidR="00DB3AF5" w:rsidRPr="00F94DE4" w:rsidRDefault="00BB7431" w:rsidP="00D1721C">
      <w:pPr>
        <w:jc w:val="both"/>
        <w:rPr>
          <w:rFonts w:ascii="Times New Roman" w:hAnsi="Times New Roman" w:cs="Times New Roman"/>
        </w:rPr>
      </w:pPr>
      <w:r>
        <w:rPr>
          <w:rFonts w:ascii="Times New Roman" w:hAnsi="Times New Roman" w:cs="Times New Roman"/>
        </w:rPr>
        <w:t>Применом линеарне регресије на постављени бенчмарк модел</w:t>
      </w:r>
      <w:r w:rsidR="00E16127">
        <w:rPr>
          <w:rFonts w:ascii="Times New Roman" w:hAnsi="Times New Roman" w:cs="Times New Roman"/>
        </w:rPr>
        <w:t xml:space="preserve"> (приноси CAT акција зависна, а SPY индекс независна варијабла)</w:t>
      </w:r>
      <w:r>
        <w:rPr>
          <w:rFonts w:ascii="Times New Roman" w:hAnsi="Times New Roman" w:cs="Times New Roman"/>
        </w:rPr>
        <w:t>, д</w:t>
      </w:r>
      <w:r w:rsidR="00DB3AF5">
        <w:rPr>
          <w:rFonts w:ascii="Times New Roman" w:hAnsi="Times New Roman" w:cs="Times New Roman"/>
        </w:rPr>
        <w:t>обиј</w:t>
      </w:r>
      <w:r>
        <w:rPr>
          <w:rFonts w:ascii="Times New Roman" w:hAnsi="Times New Roman" w:cs="Times New Roman"/>
        </w:rPr>
        <w:t>амо</w:t>
      </w:r>
      <w:r w:rsidR="00DB3AF5">
        <w:rPr>
          <w:rFonts w:ascii="Times New Roman" w:hAnsi="Times New Roman" w:cs="Times New Roman"/>
        </w:rPr>
        <w:t xml:space="preserve"> резултат</w:t>
      </w:r>
      <w:r>
        <w:rPr>
          <w:rFonts w:ascii="Times New Roman" w:hAnsi="Times New Roman" w:cs="Times New Roman"/>
        </w:rPr>
        <w:t xml:space="preserve"> који</w:t>
      </w:r>
      <w:r w:rsidR="00DB3AF5">
        <w:rPr>
          <w:rFonts w:ascii="Times New Roman" w:hAnsi="Times New Roman" w:cs="Times New Roman"/>
        </w:rPr>
        <w:t xml:space="preserve"> нам показује да тржишни портфолио </w:t>
      </w:r>
      <w:r w:rsidR="00DB3AF5">
        <w:rPr>
          <w:rFonts w:ascii="Times New Roman" w:hAnsi="Times New Roman" w:cs="Times New Roman"/>
        </w:rPr>
        <w:lastRenderedPageBreak/>
        <w:t>објашњава 40,1% (</w:t>
      </w:r>
      <w:r w:rsidR="00DB3AF5" w:rsidRPr="00D65B88">
        <w:rPr>
          <w:rFonts w:ascii="Times New Roman" w:hAnsi="Times New Roman" w:cs="Times New Roman"/>
        </w:rPr>
        <w:t>R</w:t>
      </w:r>
      <w:r w:rsidR="00DB3AF5">
        <w:rPr>
          <w:rFonts w:ascii="Times New Roman" w:hAnsi="Times New Roman" w:cs="Times New Roman"/>
          <w:vertAlign w:val="superscript"/>
        </w:rPr>
        <w:t>2</w:t>
      </w:r>
      <w:r w:rsidR="00DB3AF5">
        <w:rPr>
          <w:rFonts w:ascii="Times New Roman" w:hAnsi="Times New Roman" w:cs="Times New Roman"/>
        </w:rPr>
        <w:t xml:space="preserve"> = </w:t>
      </w:r>
      <w:r w:rsidR="00DB3AF5" w:rsidRPr="00D65B88">
        <w:rPr>
          <w:rFonts w:ascii="Times New Roman" w:hAnsi="Times New Roman" w:cs="Times New Roman"/>
        </w:rPr>
        <w:t>R</w:t>
      </w:r>
      <w:r w:rsidR="00DB3AF5">
        <w:rPr>
          <w:rFonts w:ascii="Times New Roman" w:hAnsi="Times New Roman" w:cs="Times New Roman"/>
        </w:rPr>
        <w:t xml:space="preserve"> Square) варијабилности приноса. Beta CAT акције је 0,633, што нам говори да је наша акција мање волатилна од тржишта. Врло висока t (28,993) статистика нам говори да је beta коефицијент значајан. Такође, сигнифика</w:t>
      </w:r>
      <w:r w:rsidR="009153DD">
        <w:rPr>
          <w:rFonts w:ascii="Times New Roman" w:hAnsi="Times New Roman" w:cs="Times New Roman"/>
          <w:lang w:val="sr-Cyrl-RS"/>
        </w:rPr>
        <w:t>н</w:t>
      </w:r>
      <w:r w:rsidR="00DB3AF5">
        <w:rPr>
          <w:rFonts w:ascii="Times New Roman" w:hAnsi="Times New Roman" w:cs="Times New Roman"/>
        </w:rPr>
        <w:t>тност (0) нам говори да је добијени резултат статистички значајан, што значи да постоји статистички релевантна веза између вредности приноса CAT акција и промена на тржишту и да резултати добијени у истраживању нису резултат случајности. Када резултати буду статистички значајни, то указује да су разлике или односи између променљивих које су уочене током анализе вероватно стварни и систематски, што повећава вероватноћу да су посматрања релевантна и могу пружити корисне увиде у оно што се проучава. У статистичким анализима и научним истраживањима се као праг за статистичку значајност најчешће узима на нивоу од 0,05, што значи да постоји 5% вероватноће да ће се одбацити нулта хипотеза када је она заправо тачна.</w:t>
      </w:r>
    </w:p>
    <w:p w14:paraId="061848AB" w14:textId="5F500B5B" w:rsidR="00946C59" w:rsidRDefault="00A34997" w:rsidP="007F3DB6">
      <w:pPr>
        <w:jc w:val="both"/>
        <w:rPr>
          <w:rFonts w:ascii="Times New Roman" w:hAnsi="Times New Roman" w:cs="Times New Roman"/>
        </w:rPr>
      </w:pPr>
      <w:r>
        <w:rPr>
          <w:rFonts w:ascii="Times New Roman" w:hAnsi="Times New Roman" w:cs="Times New Roman"/>
        </w:rPr>
        <w:t xml:space="preserve">Како би се утврдила јачина везе између варијабли урађена је корелациона анализа </w:t>
      </w:r>
      <w:r w:rsidR="00A04F44">
        <w:rPr>
          <w:rFonts w:ascii="Times New Roman" w:hAnsi="Times New Roman" w:cs="Times New Roman"/>
        </w:rPr>
        <w:t xml:space="preserve">за све потенцијалне детерминанте </w:t>
      </w:r>
      <w:r>
        <w:rPr>
          <w:rFonts w:ascii="Times New Roman" w:hAnsi="Times New Roman" w:cs="Times New Roman"/>
        </w:rPr>
        <w:t xml:space="preserve">чији су резултати приказани Табели 1. </w:t>
      </w:r>
      <w:r w:rsidR="00634354" w:rsidRPr="00634354">
        <w:rPr>
          <w:rFonts w:ascii="Times New Roman" w:hAnsi="Times New Roman" w:cs="Times New Roman"/>
        </w:rPr>
        <w:t xml:space="preserve">Вредност Пирсоновог коефицијента корелације се креће у интервалу од -1 до 1. Негативне вредности овог коефицијента указују на негативну, односно инверзну корелацију, а позитивне указују на позитивну, односно директну корелацију. Приликом тумачења Пирсоновог коефицијента корелације потребно је превасходно сагледати статистичку значајност добијене вредности, јер ако вредност није статистички значајна, неће се узети у разматрање.  </w:t>
      </w:r>
      <w:r w:rsidR="00460FE1">
        <w:rPr>
          <w:rFonts w:ascii="Times New Roman" w:hAnsi="Times New Roman" w:cs="Times New Roman"/>
        </w:rPr>
        <w:t xml:space="preserve">На основу добијених вредности Пирсоновог коефицијента корелације, </w:t>
      </w:r>
      <w:r w:rsidR="00E03204">
        <w:rPr>
          <w:rFonts w:ascii="Times New Roman" w:hAnsi="Times New Roman" w:cs="Times New Roman"/>
        </w:rPr>
        <w:t xml:space="preserve">који се </w:t>
      </w:r>
      <w:r w:rsidR="00F75187">
        <w:rPr>
          <w:rFonts w:ascii="Times New Roman" w:hAnsi="Times New Roman" w:cs="Times New Roman"/>
        </w:rPr>
        <w:t xml:space="preserve">уједно </w:t>
      </w:r>
      <w:r w:rsidR="00E03204">
        <w:rPr>
          <w:rFonts w:ascii="Times New Roman" w:hAnsi="Times New Roman" w:cs="Times New Roman"/>
        </w:rPr>
        <w:t xml:space="preserve">сматра најједноставнијим начином за праћење мултиколинеарности, </w:t>
      </w:r>
      <w:r w:rsidR="00460FE1">
        <w:rPr>
          <w:rFonts w:ascii="Times New Roman" w:hAnsi="Times New Roman" w:cs="Times New Roman"/>
        </w:rPr>
        <w:t xml:space="preserve">може се закључити </w:t>
      </w:r>
      <w:r w:rsidR="00460FE1" w:rsidRPr="00460FE1">
        <w:rPr>
          <w:rFonts w:ascii="Times New Roman" w:hAnsi="Times New Roman" w:cs="Times New Roman"/>
        </w:rPr>
        <w:t xml:space="preserve">да су </w:t>
      </w:r>
      <w:bookmarkStart w:id="26" w:name="_Hlk162460127"/>
      <w:r w:rsidR="00460FE1" w:rsidRPr="00460FE1">
        <w:rPr>
          <w:rFonts w:ascii="Times New Roman" w:hAnsi="Times New Roman" w:cs="Times New Roman"/>
        </w:rPr>
        <w:t>приноси CAT акција ниско корелисани са златом (0,022) и нафтом (-0,047),</w:t>
      </w:r>
      <w:bookmarkEnd w:id="26"/>
      <w:r w:rsidR="00DE6BF8">
        <w:rPr>
          <w:rFonts w:ascii="Times New Roman" w:hAnsi="Times New Roman" w:cs="Times New Roman"/>
        </w:rPr>
        <w:t xml:space="preserve"> где је идентификована статистички сигнификантна негативна веза на нивоу </w:t>
      </w:r>
      <w:r w:rsidR="00AE71A2">
        <w:rPr>
          <w:rFonts w:ascii="Times New Roman" w:hAnsi="Times New Roman" w:cs="Times New Roman"/>
        </w:rPr>
        <w:t xml:space="preserve">значајности </w:t>
      </w:r>
      <w:r w:rsidR="00DE6BF8">
        <w:rPr>
          <w:rFonts w:ascii="Times New Roman" w:hAnsi="Times New Roman" w:cs="Times New Roman"/>
        </w:rPr>
        <w:t>0,05,</w:t>
      </w:r>
      <w:r w:rsidR="00460FE1" w:rsidRPr="00460FE1">
        <w:rPr>
          <w:rFonts w:ascii="Times New Roman" w:hAnsi="Times New Roman" w:cs="Times New Roman"/>
        </w:rPr>
        <w:t xml:space="preserve"> па те случајне променљиве даље нећемо укључити у модел. </w:t>
      </w:r>
      <w:r w:rsidR="00DE6BF8">
        <w:rPr>
          <w:rFonts w:ascii="Times New Roman" w:hAnsi="Times New Roman" w:cs="Times New Roman"/>
        </w:rPr>
        <w:t xml:space="preserve">Посматрајући корелацију између приноса CAT акција и преосталих </w:t>
      </w:r>
      <w:r w:rsidR="00471E79">
        <w:rPr>
          <w:rFonts w:ascii="Times New Roman" w:hAnsi="Times New Roman" w:cs="Times New Roman"/>
        </w:rPr>
        <w:t>варијабли може се идентификовати позитивна веза између свих варијабли, осим VIX, и то готово за све варијабле је прису</w:t>
      </w:r>
      <w:r w:rsidR="009153DD">
        <w:rPr>
          <w:rFonts w:ascii="Times New Roman" w:hAnsi="Times New Roman" w:cs="Times New Roman"/>
          <w:lang w:val="sr-Cyrl-RS"/>
        </w:rPr>
        <w:t>т</w:t>
      </w:r>
      <w:r w:rsidR="00471E79">
        <w:rPr>
          <w:rFonts w:ascii="Times New Roman" w:hAnsi="Times New Roman" w:cs="Times New Roman"/>
        </w:rPr>
        <w:t xml:space="preserve">ан умерен степен линеарне корелације. </w:t>
      </w:r>
      <w:r w:rsidR="00460FE1" w:rsidRPr="00460FE1">
        <w:rPr>
          <w:rFonts w:ascii="Times New Roman" w:hAnsi="Times New Roman" w:cs="Times New Roman"/>
        </w:rPr>
        <w:t>Из матрице корелација</w:t>
      </w:r>
      <w:r w:rsidR="00471E79">
        <w:rPr>
          <w:rFonts w:ascii="Times New Roman" w:hAnsi="Times New Roman" w:cs="Times New Roman"/>
        </w:rPr>
        <w:t>,</w:t>
      </w:r>
      <w:r w:rsidR="00460FE1" w:rsidRPr="00460FE1">
        <w:rPr>
          <w:rFonts w:ascii="Times New Roman" w:hAnsi="Times New Roman" w:cs="Times New Roman"/>
        </w:rPr>
        <w:t xml:space="preserve"> такође</w:t>
      </w:r>
      <w:r w:rsidR="00471E79">
        <w:rPr>
          <w:rFonts w:ascii="Times New Roman" w:hAnsi="Times New Roman" w:cs="Times New Roman"/>
        </w:rPr>
        <w:t>,</w:t>
      </w:r>
      <w:r w:rsidR="00460FE1" w:rsidRPr="00460FE1">
        <w:rPr>
          <w:rFonts w:ascii="Times New Roman" w:hAnsi="Times New Roman" w:cs="Times New Roman"/>
        </w:rPr>
        <w:t xml:space="preserve"> примећујемо да је VIX високо корелисан са SPY фондом (-0,709). </w:t>
      </w:r>
      <w:r w:rsidR="009072A0">
        <w:rPr>
          <w:rFonts w:ascii="Times New Roman" w:hAnsi="Times New Roman" w:cs="Times New Roman"/>
        </w:rPr>
        <w:t xml:space="preserve">То значи да се кретања VIX и SPY фонда дешавају у супротним правцима. На пример, када VIX расте, што указује на повећану волатилност или нестабилност на тржишту, вредност SPY фонда обично опада, јер инвеститори постају нервозни и продају своје акције. </w:t>
      </w:r>
      <w:r w:rsidR="00460FE1" w:rsidRPr="00460FE1">
        <w:rPr>
          <w:rFonts w:ascii="Times New Roman" w:hAnsi="Times New Roman" w:cs="Times New Roman"/>
        </w:rPr>
        <w:t>Другим речима,</w:t>
      </w:r>
      <w:r w:rsidR="009072A0">
        <w:rPr>
          <w:rFonts w:ascii="Times New Roman" w:hAnsi="Times New Roman" w:cs="Times New Roman"/>
        </w:rPr>
        <w:t xml:space="preserve"> </w:t>
      </w:r>
      <w:r w:rsidR="00460FE1" w:rsidRPr="00460FE1">
        <w:rPr>
          <w:rFonts w:ascii="Times New Roman" w:hAnsi="Times New Roman" w:cs="Times New Roman"/>
        </w:rPr>
        <w:t>VIX не доноси нове информације у односу на фонд</w:t>
      </w:r>
      <w:r w:rsidR="009072A0">
        <w:rPr>
          <w:rFonts w:ascii="Times New Roman" w:hAnsi="Times New Roman" w:cs="Times New Roman"/>
        </w:rPr>
        <w:t xml:space="preserve">, </w:t>
      </w:r>
      <w:bookmarkStart w:id="27" w:name="_Hlk161512290"/>
      <w:r w:rsidR="009072A0">
        <w:rPr>
          <w:rFonts w:ascii="Times New Roman" w:hAnsi="Times New Roman" w:cs="Times New Roman"/>
        </w:rPr>
        <w:t>већ су информације које пружа VIX већ садржане у променама вредности SPY фонда</w:t>
      </w:r>
      <w:bookmarkEnd w:id="27"/>
      <w:r w:rsidR="00460FE1" w:rsidRPr="00460FE1">
        <w:rPr>
          <w:rFonts w:ascii="Times New Roman" w:hAnsi="Times New Roman" w:cs="Times New Roman"/>
        </w:rPr>
        <w:t>.</w:t>
      </w:r>
      <w:r w:rsidR="009725E8">
        <w:rPr>
          <w:rFonts w:ascii="Times New Roman" w:hAnsi="Times New Roman" w:cs="Times New Roman"/>
        </w:rPr>
        <w:t xml:space="preserve"> </w:t>
      </w:r>
      <w:r w:rsidR="009072A0" w:rsidRPr="009072A0">
        <w:rPr>
          <w:rFonts w:ascii="Times New Roman" w:hAnsi="Times New Roman" w:cs="Times New Roman"/>
          <w:vanish/>
        </w:rPr>
        <w:t>Top of Form</w:t>
      </w:r>
      <w:r w:rsidR="00460FE1" w:rsidRPr="00460FE1">
        <w:rPr>
          <w:rFonts w:ascii="Times New Roman" w:hAnsi="Times New Roman" w:cs="Times New Roman"/>
        </w:rPr>
        <w:t xml:space="preserve">Ово истичемо јер овде може </w:t>
      </w:r>
      <w:r w:rsidR="007F3DB6" w:rsidRPr="00460FE1">
        <w:rPr>
          <w:rFonts w:ascii="Times New Roman" w:hAnsi="Times New Roman" w:cs="Times New Roman"/>
        </w:rPr>
        <w:t>да се јави проблем мултиколинеарности</w:t>
      </w:r>
      <w:r w:rsidR="005B0B1E">
        <w:rPr>
          <w:rFonts w:ascii="Times New Roman" w:hAnsi="Times New Roman" w:cs="Times New Roman"/>
        </w:rPr>
        <w:t xml:space="preserve">, која </w:t>
      </w:r>
      <w:r w:rsidR="007F3DB6" w:rsidRPr="00460FE1">
        <w:rPr>
          <w:rFonts w:ascii="Times New Roman" w:hAnsi="Times New Roman" w:cs="Times New Roman"/>
        </w:rPr>
        <w:t xml:space="preserve">ограничава примену модела за предвиђање нових података. </w:t>
      </w:r>
      <w:r w:rsidR="00417863">
        <w:rPr>
          <w:rFonts w:ascii="Times New Roman" w:hAnsi="Times New Roman" w:cs="Times New Roman"/>
          <w:lang w:val="sr-Cyrl-RS"/>
        </w:rPr>
        <w:t xml:space="preserve">Мултиколинеарност се јавља </w:t>
      </w:r>
      <w:r w:rsidR="00417863" w:rsidRPr="00417863">
        <w:rPr>
          <w:rFonts w:ascii="Times New Roman" w:hAnsi="Times New Roman" w:cs="Times New Roman"/>
        </w:rPr>
        <w:t>када имамо два или више високо корелисаних регресора, односно да две објашњавајуће варијабле имају висок степен корелације између себе, па тада решење није стабилно, јер се не може прецизно утврдити њихов индивидуални утицај</w:t>
      </w:r>
      <w:r w:rsidR="00417863">
        <w:rPr>
          <w:rFonts w:ascii="Times New Roman" w:hAnsi="Times New Roman" w:cs="Times New Roman"/>
          <w:lang w:val="sr-Cyrl-RS"/>
        </w:rPr>
        <w:t xml:space="preserve">, </w:t>
      </w:r>
      <w:r w:rsidR="00417863" w:rsidRPr="00417863">
        <w:rPr>
          <w:rFonts w:ascii="Times New Roman" w:hAnsi="Times New Roman" w:cs="Times New Roman"/>
        </w:rPr>
        <w:t>што је посебно случај када имамо велики број регресора. Мултиколинеарност може довести до нестабилности коефицијента регресије, што значи да мале промене у подацима могу проузроковати значајне промене у процењеним вредностима коефицијената. Такође, може смањити прецизност процена. Када су предиктори између себе мултиколинеарни тешко је разликовати њихове појединачне доприносе зависној променљивој, те интерпретација коефицијената може бити конфузна и мање поуздана</w:t>
      </w:r>
      <w:r w:rsidR="007F3DB6" w:rsidRPr="00460FE1">
        <w:rPr>
          <w:rFonts w:ascii="Times New Roman" w:hAnsi="Times New Roman" w:cs="Times New Roman"/>
        </w:rPr>
        <w:t>Поред VIX-а, приноси акција HD су високо корелисани са SPY фондом (0,749</w:t>
      </w:r>
      <w:r w:rsidR="00B72203">
        <w:rPr>
          <w:rFonts w:ascii="Times New Roman" w:hAnsi="Times New Roman" w:cs="Times New Roman"/>
        </w:rPr>
        <w:t>) и PKB фондом (0,748)</w:t>
      </w:r>
      <w:r w:rsidR="007F3DB6" w:rsidRPr="00460FE1">
        <w:rPr>
          <w:rFonts w:ascii="Times New Roman" w:hAnsi="Times New Roman" w:cs="Times New Roman"/>
        </w:rPr>
        <w:t xml:space="preserve">. </w:t>
      </w:r>
      <w:r w:rsidR="001E028D">
        <w:rPr>
          <w:rFonts w:ascii="Times New Roman" w:hAnsi="Times New Roman" w:cs="Times New Roman"/>
        </w:rPr>
        <w:t>Проблем јаких корелација између предиктора може се решити елиминацијом једног од предиктора или трансформацијом једне од варијабли</w:t>
      </w:r>
      <w:r w:rsidR="00326E5B" w:rsidRPr="00326E5B">
        <w:t xml:space="preserve"> </w:t>
      </w:r>
      <w:r w:rsidR="00326E5B">
        <w:t>(</w:t>
      </w:r>
      <w:r w:rsidR="00326E5B" w:rsidRPr="00326E5B">
        <w:rPr>
          <w:rFonts w:ascii="Times New Roman" w:hAnsi="Times New Roman" w:cs="Times New Roman"/>
        </w:rPr>
        <w:t>Alexander, 2008</w:t>
      </w:r>
      <w:r w:rsidR="00326E5B">
        <w:rPr>
          <w:rFonts w:ascii="Times New Roman" w:hAnsi="Times New Roman" w:cs="Times New Roman"/>
        </w:rPr>
        <w:t>)</w:t>
      </w:r>
      <w:r w:rsidR="001E028D">
        <w:rPr>
          <w:rFonts w:ascii="Times New Roman" w:hAnsi="Times New Roman" w:cs="Times New Roman"/>
        </w:rPr>
        <w:t xml:space="preserve">. </w:t>
      </w:r>
      <w:r w:rsidR="00273470" w:rsidRPr="00273470">
        <w:rPr>
          <w:rFonts w:ascii="Times New Roman" w:hAnsi="Times New Roman" w:cs="Times New Roman"/>
        </w:rPr>
        <w:t>Такође, вишеструком линеарном регресијом за предикторе VIX и CL=F је утврђено да је сигнификантност већа од 5 % (редом добијене вредности су 53,5% и 76,5%), што</w:t>
      </w:r>
      <w:r w:rsidR="00722BD2">
        <w:rPr>
          <w:rFonts w:ascii="Times New Roman" w:hAnsi="Times New Roman" w:cs="Times New Roman"/>
        </w:rPr>
        <w:t xml:space="preserve"> </w:t>
      </w:r>
      <w:r w:rsidR="00273470" w:rsidRPr="00273470">
        <w:rPr>
          <w:rFonts w:ascii="Times New Roman" w:hAnsi="Times New Roman" w:cs="Times New Roman"/>
        </w:rPr>
        <w:t xml:space="preserve">значи да не постоји довољно статистичких доказа да би се тврдило да су коефицијенти регресије за ова два предиктора различити од нуле. Другим речима, веза између предиктора и зависне варијабле вероватно није </w:t>
      </w:r>
      <w:r w:rsidR="0036229F">
        <w:rPr>
          <w:rFonts w:ascii="Times New Roman" w:hAnsi="Times New Roman" w:cs="Times New Roman"/>
          <w:lang w:val="sr-Cyrl-RS"/>
        </w:rPr>
        <w:t xml:space="preserve">статистички </w:t>
      </w:r>
      <w:r w:rsidR="00273470" w:rsidRPr="00273470">
        <w:rPr>
          <w:rFonts w:ascii="Times New Roman" w:hAnsi="Times New Roman" w:cs="Times New Roman"/>
        </w:rPr>
        <w:t>значајна.</w:t>
      </w:r>
      <w:r w:rsidR="00185897">
        <w:rPr>
          <w:rFonts w:ascii="Times New Roman" w:hAnsi="Times New Roman" w:cs="Times New Roman"/>
        </w:rPr>
        <w:t xml:space="preserve"> </w:t>
      </w:r>
      <w:r w:rsidR="00273470">
        <w:rPr>
          <w:rFonts w:ascii="Times New Roman" w:hAnsi="Times New Roman" w:cs="Times New Roman"/>
        </w:rPr>
        <w:t>Осим потенцијалног проблема са мултиколинеарношћу</w:t>
      </w:r>
      <w:r w:rsidR="00273470" w:rsidRPr="00273470">
        <w:rPr>
          <w:rFonts w:ascii="Times New Roman" w:hAnsi="Times New Roman" w:cs="Times New Roman"/>
        </w:rPr>
        <w:t>, за варијабле HD и GLD добијене вредности t статистике имају негативни предзнак (-3,297 и -4,263), што значи да постоји негативна веза између предиктора и зависне варијабле, а што</w:t>
      </w:r>
      <w:r w:rsidR="00326E5B">
        <w:rPr>
          <w:rFonts w:ascii="Times New Roman" w:hAnsi="Times New Roman" w:cs="Times New Roman"/>
        </w:rPr>
        <w:t xml:space="preserve"> даље</w:t>
      </w:r>
      <w:r w:rsidR="00273470" w:rsidRPr="00273470">
        <w:rPr>
          <w:rFonts w:ascii="Times New Roman" w:hAnsi="Times New Roman" w:cs="Times New Roman"/>
        </w:rPr>
        <w:t xml:space="preserve"> значи да сваки пораст јединице у вредности </w:t>
      </w:r>
      <w:r w:rsidR="00273470" w:rsidRPr="00273470">
        <w:rPr>
          <w:rFonts w:ascii="Times New Roman" w:hAnsi="Times New Roman" w:cs="Times New Roman"/>
        </w:rPr>
        <w:lastRenderedPageBreak/>
        <w:t>предиктора доводи до просечног смањења вредности зависне варијабле за вредност t стандардне девијације, под условом да су све остале променљиве у моделу константне.</w:t>
      </w:r>
      <w:r w:rsidR="00326E5B">
        <w:rPr>
          <w:rFonts w:ascii="Times New Roman" w:hAnsi="Times New Roman" w:cs="Times New Roman"/>
        </w:rPr>
        <w:t xml:space="preserve"> </w:t>
      </w:r>
      <w:r w:rsidR="00C43D4C">
        <w:rPr>
          <w:rFonts w:ascii="Times New Roman" w:hAnsi="Times New Roman" w:cs="Times New Roman"/>
        </w:rPr>
        <w:t>Због наведених недостатака из даље анализе</w:t>
      </w:r>
      <w:r w:rsidR="007F3DB6" w:rsidRPr="00460FE1">
        <w:rPr>
          <w:rFonts w:ascii="Times New Roman" w:hAnsi="Times New Roman" w:cs="Times New Roman"/>
        </w:rPr>
        <w:t xml:space="preserve"> </w:t>
      </w:r>
      <w:r w:rsidR="00D05C72">
        <w:rPr>
          <w:rFonts w:ascii="Times New Roman" w:hAnsi="Times New Roman" w:cs="Times New Roman"/>
        </w:rPr>
        <w:t>биће</w:t>
      </w:r>
      <w:r w:rsidR="007F3DB6" w:rsidRPr="00460FE1">
        <w:rPr>
          <w:rFonts w:ascii="Times New Roman" w:hAnsi="Times New Roman" w:cs="Times New Roman"/>
        </w:rPr>
        <w:t xml:space="preserve"> искључ</w:t>
      </w:r>
      <w:r w:rsidR="00D05C72">
        <w:rPr>
          <w:rFonts w:ascii="Times New Roman" w:hAnsi="Times New Roman" w:cs="Times New Roman"/>
        </w:rPr>
        <w:t>ена</w:t>
      </w:r>
      <w:r w:rsidR="007F3DB6" w:rsidRPr="00460FE1">
        <w:rPr>
          <w:rFonts w:ascii="Times New Roman" w:hAnsi="Times New Roman" w:cs="Times New Roman"/>
        </w:rPr>
        <w:t xml:space="preserve"> четири предиктора: GLD, CL=F, VIX и HD</w:t>
      </w:r>
      <w:r w:rsidR="00B81C18">
        <w:rPr>
          <w:rFonts w:ascii="Times New Roman" w:hAnsi="Times New Roman" w:cs="Times New Roman"/>
        </w:rPr>
        <w:t xml:space="preserve"> и следи да </w:t>
      </w:r>
      <w:r w:rsidR="00D05C72">
        <w:rPr>
          <w:rFonts w:ascii="Times New Roman" w:hAnsi="Times New Roman" w:cs="Times New Roman"/>
        </w:rPr>
        <w:t>се одбацуј</w:t>
      </w:r>
      <w:r w:rsidR="00EF250B">
        <w:rPr>
          <w:rFonts w:ascii="Times New Roman" w:hAnsi="Times New Roman" w:cs="Times New Roman"/>
        </w:rPr>
        <w:t xml:space="preserve">у подхипотезе </w:t>
      </w:r>
      <w:r w:rsidR="00AA7C10">
        <w:rPr>
          <w:rFonts w:ascii="Times New Roman" w:hAnsi="Times New Roman" w:cs="Times New Roman"/>
          <w:lang w:val="sr-Cyrl-RS"/>
        </w:rPr>
        <w:t xml:space="preserve">Х1а, Х1в и Х1г </w:t>
      </w:r>
      <w:r w:rsidR="00EF250B">
        <w:rPr>
          <w:rFonts w:ascii="Times New Roman" w:hAnsi="Times New Roman" w:cs="Times New Roman"/>
        </w:rPr>
        <w:t xml:space="preserve">изведене из </w:t>
      </w:r>
      <w:r w:rsidR="00D05C72">
        <w:rPr>
          <w:rFonts w:ascii="Times New Roman" w:hAnsi="Times New Roman" w:cs="Times New Roman"/>
        </w:rPr>
        <w:t xml:space="preserve">X1 </w:t>
      </w:r>
      <w:r w:rsidR="00EF250B">
        <w:rPr>
          <w:rFonts w:ascii="Times New Roman" w:hAnsi="Times New Roman" w:cs="Times New Roman"/>
        </w:rPr>
        <w:t>да се додавањем системских варијабли (кретање вредности злата, сирове нафте и волатилности) доприноси предвиђању приноса CAT акција.</w:t>
      </w:r>
      <w:r w:rsidR="00AE2AF1">
        <w:rPr>
          <w:rFonts w:ascii="Times New Roman" w:hAnsi="Times New Roman" w:cs="Times New Roman"/>
        </w:rPr>
        <w:t xml:space="preserve"> Исто тако, </w:t>
      </w:r>
      <w:r w:rsidR="00C16AAF">
        <w:rPr>
          <w:rFonts w:ascii="Times New Roman" w:hAnsi="Times New Roman" w:cs="Times New Roman"/>
        </w:rPr>
        <w:t xml:space="preserve">одбацује се подхипотеза </w:t>
      </w:r>
      <w:r w:rsidR="00AA7C10">
        <w:rPr>
          <w:rFonts w:ascii="Times New Roman" w:hAnsi="Times New Roman" w:cs="Times New Roman"/>
          <w:lang w:val="sr-Cyrl-RS"/>
        </w:rPr>
        <w:t xml:space="preserve">Х2ђ </w:t>
      </w:r>
      <w:r w:rsidR="00C16AAF">
        <w:rPr>
          <w:rFonts w:ascii="Times New Roman" w:hAnsi="Times New Roman" w:cs="Times New Roman"/>
        </w:rPr>
        <w:t>да кретање приноса алата и других грађевинских производа имају статистички значајан утицај на кретање приноса CAT акција.</w:t>
      </w:r>
    </w:p>
    <w:p w14:paraId="6CA885A3" w14:textId="77777777" w:rsidR="006324E4" w:rsidRDefault="006324E4" w:rsidP="007F3DB6">
      <w:pPr>
        <w:jc w:val="both"/>
        <w:rPr>
          <w:rFonts w:ascii="Times New Roman" w:hAnsi="Times New Roman" w:cs="Times New Roman"/>
        </w:rPr>
      </w:pPr>
    </w:p>
    <w:p w14:paraId="181BB3EC" w14:textId="1418C44A" w:rsidR="007F3DB6" w:rsidRDefault="007F3DB6" w:rsidP="007F3DB6">
      <w:pPr>
        <w:jc w:val="both"/>
        <w:rPr>
          <w:rFonts w:ascii="Times New Roman" w:hAnsi="Times New Roman" w:cs="Times New Roman"/>
        </w:rPr>
      </w:pPr>
      <w:r>
        <w:rPr>
          <w:rFonts w:ascii="Times New Roman" w:hAnsi="Times New Roman" w:cs="Times New Roman"/>
        </w:rPr>
        <w:t>Табела 1. Корелациона анализа</w:t>
      </w:r>
      <w:r w:rsidR="00173F50">
        <w:rPr>
          <w:rFonts w:ascii="Times New Roman" w:hAnsi="Times New Roman" w:cs="Times New Roman"/>
        </w:rPr>
        <w:t xml:space="preserve"> са 11 предиктора</w:t>
      </w:r>
      <w:r>
        <w:rPr>
          <w:rFonts w:ascii="Times New Roman" w:hAnsi="Times New Roman" w:cs="Times New Roman"/>
        </w:rPr>
        <w:t xml:space="preserve"> </w:t>
      </w:r>
    </w:p>
    <w:tbl>
      <w:tblPr>
        <w:tblStyle w:val="TableGridLight11"/>
        <w:tblW w:w="9292" w:type="dxa"/>
        <w:jc w:val="center"/>
        <w:tblLook w:val="0000" w:firstRow="0" w:lastRow="0" w:firstColumn="0" w:lastColumn="0" w:noHBand="0" w:noVBand="0"/>
      </w:tblPr>
      <w:tblGrid>
        <w:gridCol w:w="1036"/>
        <w:gridCol w:w="837"/>
        <w:gridCol w:w="576"/>
        <w:gridCol w:w="576"/>
        <w:gridCol w:w="576"/>
        <w:gridCol w:w="576"/>
        <w:gridCol w:w="636"/>
        <w:gridCol w:w="576"/>
        <w:gridCol w:w="576"/>
        <w:gridCol w:w="687"/>
        <w:gridCol w:w="666"/>
        <w:gridCol w:w="837"/>
        <w:gridCol w:w="576"/>
        <w:gridCol w:w="586"/>
      </w:tblGrid>
      <w:tr w:rsidR="008868C0" w:rsidRPr="00DC5398" w14:paraId="68F68EB6" w14:textId="77777777" w:rsidTr="008868C0">
        <w:trPr>
          <w:trHeight w:val="428"/>
          <w:jc w:val="center"/>
        </w:trPr>
        <w:tc>
          <w:tcPr>
            <w:tcW w:w="0" w:type="auto"/>
            <w:gridSpan w:val="2"/>
          </w:tcPr>
          <w:p w14:paraId="60BBFC08" w14:textId="77777777" w:rsidR="00DA5CB4" w:rsidRPr="00DC5398" w:rsidRDefault="00DA5CB4" w:rsidP="00DC5398">
            <w:pPr>
              <w:keepNext/>
              <w:keepLines/>
              <w:spacing w:before="120"/>
              <w:jc w:val="both"/>
              <w:outlineLvl w:val="0"/>
              <w:rPr>
                <w:rFonts w:ascii="Times New Roman" w:eastAsiaTheme="majorEastAsia" w:hAnsi="Times New Roman" w:cs="Times New Roman"/>
                <w:color w:val="2F5496" w:themeColor="accent1" w:themeShade="BF"/>
                <w:sz w:val="16"/>
                <w:szCs w:val="16"/>
              </w:rPr>
            </w:pPr>
            <w:r w:rsidRPr="00DD6A27">
              <w:rPr>
                <w:rFonts w:ascii="Times New Roman" w:eastAsiaTheme="majorEastAsia" w:hAnsi="Times New Roman" w:cs="Times New Roman"/>
                <w:sz w:val="18"/>
                <w:szCs w:val="18"/>
              </w:rPr>
              <w:t>Correlations</w:t>
            </w:r>
          </w:p>
        </w:tc>
        <w:tc>
          <w:tcPr>
            <w:tcW w:w="0" w:type="auto"/>
          </w:tcPr>
          <w:p w14:paraId="26C0AEDA"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CAT</w:t>
            </w:r>
          </w:p>
        </w:tc>
        <w:tc>
          <w:tcPr>
            <w:tcW w:w="0" w:type="auto"/>
          </w:tcPr>
          <w:p w14:paraId="4900A2E8"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SPY</w:t>
            </w:r>
          </w:p>
        </w:tc>
        <w:tc>
          <w:tcPr>
            <w:tcW w:w="0" w:type="auto"/>
          </w:tcPr>
          <w:p w14:paraId="38768396"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VIX</w:t>
            </w:r>
          </w:p>
        </w:tc>
        <w:tc>
          <w:tcPr>
            <w:tcW w:w="0" w:type="auto"/>
          </w:tcPr>
          <w:p w14:paraId="35A2DB26"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PKB</w:t>
            </w:r>
          </w:p>
        </w:tc>
        <w:tc>
          <w:tcPr>
            <w:tcW w:w="0" w:type="auto"/>
          </w:tcPr>
          <w:p w14:paraId="43BE097C"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COIL</w:t>
            </w:r>
          </w:p>
        </w:tc>
        <w:tc>
          <w:tcPr>
            <w:tcW w:w="0" w:type="auto"/>
          </w:tcPr>
          <w:p w14:paraId="6C7EBB3A"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HD</w:t>
            </w:r>
          </w:p>
        </w:tc>
        <w:tc>
          <w:tcPr>
            <w:tcW w:w="0" w:type="auto"/>
          </w:tcPr>
          <w:p w14:paraId="54E19076"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NEE</w:t>
            </w:r>
          </w:p>
        </w:tc>
        <w:tc>
          <w:tcPr>
            <w:tcW w:w="0" w:type="auto"/>
          </w:tcPr>
          <w:p w14:paraId="6C6FEA63"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SCCO</w:t>
            </w:r>
          </w:p>
        </w:tc>
        <w:tc>
          <w:tcPr>
            <w:tcW w:w="0" w:type="auto"/>
          </w:tcPr>
          <w:p w14:paraId="1C7FCAE8"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STLD</w:t>
            </w:r>
          </w:p>
        </w:tc>
        <w:tc>
          <w:tcPr>
            <w:tcW w:w="0" w:type="auto"/>
          </w:tcPr>
          <w:p w14:paraId="6D97F255"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BRDCY</w:t>
            </w:r>
          </w:p>
        </w:tc>
        <w:tc>
          <w:tcPr>
            <w:tcW w:w="0" w:type="auto"/>
          </w:tcPr>
          <w:p w14:paraId="79388EBA"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AA</w:t>
            </w:r>
          </w:p>
        </w:tc>
        <w:tc>
          <w:tcPr>
            <w:tcW w:w="0" w:type="auto"/>
          </w:tcPr>
          <w:p w14:paraId="09C86C7C"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GLD</w:t>
            </w:r>
          </w:p>
        </w:tc>
      </w:tr>
      <w:tr w:rsidR="008868C0" w:rsidRPr="00DC5398" w14:paraId="0E22DEE8" w14:textId="77777777" w:rsidTr="008868C0">
        <w:trPr>
          <w:trHeight w:val="428"/>
          <w:jc w:val="center"/>
        </w:trPr>
        <w:tc>
          <w:tcPr>
            <w:tcW w:w="0" w:type="auto"/>
            <w:vMerge w:val="restart"/>
          </w:tcPr>
          <w:p w14:paraId="55CDC8C3" w14:textId="77777777" w:rsidR="00DA5CB4" w:rsidRPr="00DC5398" w:rsidRDefault="00DA5CB4" w:rsidP="00DC5398">
            <w:pPr>
              <w:keepNext/>
              <w:keepLines/>
              <w:spacing w:before="120"/>
              <w:outlineLvl w:val="0"/>
              <w:rPr>
                <w:rFonts w:ascii="Times New Roman" w:eastAsiaTheme="majorEastAsia" w:hAnsi="Times New Roman" w:cs="Times New Roman"/>
                <w:color w:val="000000"/>
                <w:sz w:val="16"/>
                <w:szCs w:val="16"/>
              </w:rPr>
            </w:pPr>
            <w:r w:rsidRPr="00DD6A27">
              <w:rPr>
                <w:rFonts w:ascii="Times New Roman" w:eastAsiaTheme="majorEastAsia" w:hAnsi="Times New Roman" w:cs="Times New Roman"/>
                <w:color w:val="000000"/>
                <w:sz w:val="18"/>
                <w:szCs w:val="18"/>
              </w:rPr>
              <w:t>Pearson Correlation</w:t>
            </w:r>
          </w:p>
        </w:tc>
        <w:tc>
          <w:tcPr>
            <w:tcW w:w="0" w:type="auto"/>
          </w:tcPr>
          <w:p w14:paraId="529BC937"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CAT</w:t>
            </w:r>
          </w:p>
        </w:tc>
        <w:tc>
          <w:tcPr>
            <w:tcW w:w="0" w:type="auto"/>
          </w:tcPr>
          <w:p w14:paraId="3D831DCB"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1,000</w:t>
            </w:r>
          </w:p>
        </w:tc>
        <w:tc>
          <w:tcPr>
            <w:tcW w:w="0" w:type="auto"/>
          </w:tcPr>
          <w:p w14:paraId="6A1AD447"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,633</w:t>
            </w:r>
          </w:p>
        </w:tc>
        <w:tc>
          <w:tcPr>
            <w:tcW w:w="0" w:type="auto"/>
          </w:tcPr>
          <w:p w14:paraId="224E9856"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-,478</w:t>
            </w:r>
          </w:p>
        </w:tc>
        <w:tc>
          <w:tcPr>
            <w:tcW w:w="0" w:type="auto"/>
          </w:tcPr>
          <w:p w14:paraId="3C36EE57"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,610</w:t>
            </w:r>
          </w:p>
        </w:tc>
        <w:tc>
          <w:tcPr>
            <w:tcW w:w="0" w:type="auto"/>
          </w:tcPr>
          <w:p w14:paraId="226243F1" w14:textId="77777777" w:rsidR="00DA5CB4" w:rsidRPr="00DC5398" w:rsidRDefault="00DA5CB4" w:rsidP="00DD6A27">
            <w:pPr>
              <w:keepNext/>
              <w:keepLines/>
              <w:spacing w:before="120"/>
              <w:jc w:val="right"/>
              <w:outlineLvl w:val="0"/>
              <w:rPr>
                <w:rFonts w:ascii="Times New Roman" w:eastAsiaTheme="majorEastAsia" w:hAnsi="Times New Roman" w:cs="Times New Roman"/>
                <w:b/>
                <w:bCs/>
                <w:color w:val="000000"/>
                <w:sz w:val="16"/>
                <w:szCs w:val="16"/>
              </w:rPr>
            </w:pPr>
            <w:r w:rsidRPr="00DC5398">
              <w:rPr>
                <w:rFonts w:ascii="Times New Roman" w:eastAsiaTheme="majorEastAsia" w:hAnsi="Times New Roman" w:cs="Times New Roman"/>
                <w:b/>
                <w:bCs/>
                <w:color w:val="000000"/>
                <w:sz w:val="16"/>
                <w:szCs w:val="16"/>
              </w:rPr>
              <w:t>-,047</w:t>
            </w:r>
          </w:p>
        </w:tc>
        <w:tc>
          <w:tcPr>
            <w:tcW w:w="0" w:type="auto"/>
          </w:tcPr>
          <w:p w14:paraId="2ED54134"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,446</w:t>
            </w:r>
          </w:p>
        </w:tc>
        <w:tc>
          <w:tcPr>
            <w:tcW w:w="0" w:type="auto"/>
          </w:tcPr>
          <w:p w14:paraId="46333AC3"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,304</w:t>
            </w:r>
          </w:p>
        </w:tc>
        <w:tc>
          <w:tcPr>
            <w:tcW w:w="0" w:type="auto"/>
          </w:tcPr>
          <w:p w14:paraId="366220A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,608</w:t>
            </w:r>
          </w:p>
        </w:tc>
        <w:tc>
          <w:tcPr>
            <w:tcW w:w="0" w:type="auto"/>
          </w:tcPr>
          <w:p w14:paraId="6D8ABFDD"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,610</w:t>
            </w:r>
          </w:p>
        </w:tc>
        <w:tc>
          <w:tcPr>
            <w:tcW w:w="0" w:type="auto"/>
          </w:tcPr>
          <w:p w14:paraId="7EEF7964"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,403</w:t>
            </w:r>
          </w:p>
        </w:tc>
        <w:tc>
          <w:tcPr>
            <w:tcW w:w="0" w:type="auto"/>
          </w:tcPr>
          <w:p w14:paraId="4410F820"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,563</w:t>
            </w:r>
          </w:p>
        </w:tc>
        <w:tc>
          <w:tcPr>
            <w:tcW w:w="0" w:type="auto"/>
          </w:tcPr>
          <w:p w14:paraId="5A0BB4C5" w14:textId="77777777" w:rsidR="00DA5CB4" w:rsidRPr="00DC5398" w:rsidRDefault="00DA5CB4" w:rsidP="00DD6A27">
            <w:pPr>
              <w:keepNext/>
              <w:keepLines/>
              <w:spacing w:before="120"/>
              <w:jc w:val="right"/>
              <w:outlineLvl w:val="0"/>
              <w:rPr>
                <w:rFonts w:ascii="Times New Roman" w:eastAsiaTheme="majorEastAsia" w:hAnsi="Times New Roman" w:cs="Times New Roman"/>
                <w:b/>
                <w:bCs/>
                <w:color w:val="000000"/>
                <w:sz w:val="16"/>
                <w:szCs w:val="16"/>
              </w:rPr>
            </w:pPr>
            <w:r w:rsidRPr="00DC5398">
              <w:rPr>
                <w:rFonts w:ascii="Times New Roman" w:eastAsiaTheme="majorEastAsia" w:hAnsi="Times New Roman" w:cs="Times New Roman"/>
                <w:b/>
                <w:bCs/>
                <w:color w:val="000000"/>
                <w:sz w:val="16"/>
                <w:szCs w:val="16"/>
              </w:rPr>
              <w:t>,022</w:t>
            </w:r>
          </w:p>
        </w:tc>
      </w:tr>
      <w:tr w:rsidR="008868C0" w:rsidRPr="00DC5398" w14:paraId="0E3C3C33" w14:textId="77777777" w:rsidTr="008868C0">
        <w:trPr>
          <w:trHeight w:val="449"/>
          <w:jc w:val="center"/>
        </w:trPr>
        <w:tc>
          <w:tcPr>
            <w:tcW w:w="0" w:type="auto"/>
            <w:vMerge/>
          </w:tcPr>
          <w:p w14:paraId="6ACE2EFD" w14:textId="77777777" w:rsidR="00DA5CB4" w:rsidRPr="00DC5398" w:rsidRDefault="00DA5CB4" w:rsidP="00DC5398">
            <w:pPr>
              <w:keepNext/>
              <w:keepLines/>
              <w:spacing w:before="120"/>
              <w:outlineLvl w:val="0"/>
              <w:rPr>
                <w:rFonts w:ascii="Times New Roman" w:eastAsiaTheme="majorEastAsia" w:hAnsi="Times New Roman" w:cs="Times New Roman"/>
                <w:color w:val="000000"/>
                <w:sz w:val="16"/>
                <w:szCs w:val="16"/>
              </w:rPr>
            </w:pPr>
          </w:p>
        </w:tc>
        <w:tc>
          <w:tcPr>
            <w:tcW w:w="0" w:type="auto"/>
          </w:tcPr>
          <w:p w14:paraId="02ED8F68"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SPY</w:t>
            </w:r>
          </w:p>
        </w:tc>
        <w:tc>
          <w:tcPr>
            <w:tcW w:w="0" w:type="auto"/>
          </w:tcPr>
          <w:p w14:paraId="6EA3470B"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,633</w:t>
            </w:r>
          </w:p>
        </w:tc>
        <w:tc>
          <w:tcPr>
            <w:tcW w:w="0" w:type="auto"/>
          </w:tcPr>
          <w:p w14:paraId="08E96F08"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1,000</w:t>
            </w:r>
          </w:p>
        </w:tc>
        <w:tc>
          <w:tcPr>
            <w:tcW w:w="0" w:type="auto"/>
          </w:tcPr>
          <w:p w14:paraId="7E553E06"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-,709</w:t>
            </w:r>
          </w:p>
        </w:tc>
        <w:tc>
          <w:tcPr>
            <w:tcW w:w="0" w:type="auto"/>
          </w:tcPr>
          <w:p w14:paraId="27396E4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,659</w:t>
            </w:r>
          </w:p>
        </w:tc>
        <w:tc>
          <w:tcPr>
            <w:tcW w:w="0" w:type="auto"/>
          </w:tcPr>
          <w:p w14:paraId="61479A0A"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-,058</w:t>
            </w:r>
          </w:p>
        </w:tc>
        <w:tc>
          <w:tcPr>
            <w:tcW w:w="0" w:type="auto"/>
          </w:tcPr>
          <w:p w14:paraId="12ED5717" w14:textId="77777777" w:rsidR="00DA5CB4" w:rsidRPr="00DC5398" w:rsidRDefault="00DA5CB4" w:rsidP="00DD6A27">
            <w:pPr>
              <w:keepNext/>
              <w:keepLines/>
              <w:spacing w:before="120"/>
              <w:jc w:val="right"/>
              <w:outlineLvl w:val="0"/>
              <w:rPr>
                <w:rFonts w:ascii="Times New Roman" w:eastAsiaTheme="majorEastAsia" w:hAnsi="Times New Roman" w:cs="Times New Roman"/>
                <w:b/>
                <w:bCs/>
                <w:color w:val="000000"/>
                <w:sz w:val="16"/>
                <w:szCs w:val="16"/>
              </w:rPr>
            </w:pPr>
            <w:r w:rsidRPr="00DC5398">
              <w:rPr>
                <w:rFonts w:ascii="Times New Roman" w:eastAsiaTheme="majorEastAsia" w:hAnsi="Times New Roman" w:cs="Times New Roman"/>
                <w:b/>
                <w:bCs/>
                <w:color w:val="000000"/>
                <w:sz w:val="16"/>
                <w:szCs w:val="16"/>
              </w:rPr>
              <w:t>,749</w:t>
            </w:r>
          </w:p>
        </w:tc>
        <w:tc>
          <w:tcPr>
            <w:tcW w:w="0" w:type="auto"/>
          </w:tcPr>
          <w:p w14:paraId="3632BE96"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,583</w:t>
            </w:r>
          </w:p>
        </w:tc>
        <w:tc>
          <w:tcPr>
            <w:tcW w:w="0" w:type="auto"/>
          </w:tcPr>
          <w:p w14:paraId="53C640EE"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,592</w:t>
            </w:r>
          </w:p>
        </w:tc>
        <w:tc>
          <w:tcPr>
            <w:tcW w:w="0" w:type="auto"/>
          </w:tcPr>
          <w:p w14:paraId="77B5CC64"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,593</w:t>
            </w:r>
          </w:p>
        </w:tc>
        <w:tc>
          <w:tcPr>
            <w:tcW w:w="0" w:type="auto"/>
          </w:tcPr>
          <w:p w14:paraId="146F01AE"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,517</w:t>
            </w:r>
          </w:p>
        </w:tc>
        <w:tc>
          <w:tcPr>
            <w:tcW w:w="0" w:type="auto"/>
          </w:tcPr>
          <w:p w14:paraId="01A032AD"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,532</w:t>
            </w:r>
          </w:p>
        </w:tc>
        <w:tc>
          <w:tcPr>
            <w:tcW w:w="0" w:type="auto"/>
          </w:tcPr>
          <w:p w14:paraId="79C4CEBE"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,114</w:t>
            </w:r>
          </w:p>
        </w:tc>
      </w:tr>
      <w:tr w:rsidR="008868C0" w:rsidRPr="00DC5398" w14:paraId="4EE01D66" w14:textId="77777777" w:rsidTr="008868C0">
        <w:trPr>
          <w:trHeight w:val="449"/>
          <w:jc w:val="center"/>
        </w:trPr>
        <w:tc>
          <w:tcPr>
            <w:tcW w:w="0" w:type="auto"/>
            <w:vMerge/>
          </w:tcPr>
          <w:p w14:paraId="37DE2235" w14:textId="77777777" w:rsidR="00DA5CB4" w:rsidRPr="00DC5398" w:rsidRDefault="00DA5CB4" w:rsidP="00DC5398">
            <w:pPr>
              <w:keepNext/>
              <w:keepLines/>
              <w:spacing w:before="120"/>
              <w:outlineLvl w:val="0"/>
              <w:rPr>
                <w:rFonts w:ascii="Times New Roman" w:eastAsiaTheme="majorEastAsia" w:hAnsi="Times New Roman" w:cs="Times New Roman"/>
                <w:color w:val="000000"/>
                <w:sz w:val="16"/>
                <w:szCs w:val="16"/>
              </w:rPr>
            </w:pPr>
          </w:p>
        </w:tc>
        <w:tc>
          <w:tcPr>
            <w:tcW w:w="0" w:type="auto"/>
          </w:tcPr>
          <w:p w14:paraId="5FD30F23"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VIX</w:t>
            </w:r>
          </w:p>
        </w:tc>
        <w:tc>
          <w:tcPr>
            <w:tcW w:w="0" w:type="auto"/>
          </w:tcPr>
          <w:p w14:paraId="3EF8A149"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-,478</w:t>
            </w:r>
          </w:p>
        </w:tc>
        <w:tc>
          <w:tcPr>
            <w:tcW w:w="0" w:type="auto"/>
          </w:tcPr>
          <w:p w14:paraId="635032C0" w14:textId="77777777" w:rsidR="00DA5CB4" w:rsidRPr="00DC5398" w:rsidRDefault="00DA5CB4" w:rsidP="00DD6A27">
            <w:pPr>
              <w:keepNext/>
              <w:keepLines/>
              <w:spacing w:before="120"/>
              <w:jc w:val="right"/>
              <w:outlineLvl w:val="0"/>
              <w:rPr>
                <w:rFonts w:ascii="Times New Roman" w:eastAsiaTheme="majorEastAsia" w:hAnsi="Times New Roman" w:cs="Times New Roman"/>
                <w:b/>
                <w:bCs/>
                <w:color w:val="000000"/>
                <w:sz w:val="16"/>
                <w:szCs w:val="16"/>
              </w:rPr>
            </w:pPr>
            <w:r w:rsidRPr="00DC5398">
              <w:rPr>
                <w:rFonts w:ascii="Times New Roman" w:eastAsiaTheme="majorEastAsia" w:hAnsi="Times New Roman" w:cs="Times New Roman"/>
                <w:b/>
                <w:bCs/>
                <w:color w:val="000000"/>
                <w:sz w:val="16"/>
                <w:szCs w:val="16"/>
              </w:rPr>
              <w:t>-,709</w:t>
            </w:r>
          </w:p>
        </w:tc>
        <w:tc>
          <w:tcPr>
            <w:tcW w:w="0" w:type="auto"/>
          </w:tcPr>
          <w:p w14:paraId="16B7E9A9"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1,000</w:t>
            </w:r>
          </w:p>
        </w:tc>
        <w:tc>
          <w:tcPr>
            <w:tcW w:w="0" w:type="auto"/>
          </w:tcPr>
          <w:p w14:paraId="288BC02D"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-,556</w:t>
            </w:r>
          </w:p>
        </w:tc>
        <w:tc>
          <w:tcPr>
            <w:tcW w:w="0" w:type="auto"/>
          </w:tcPr>
          <w:p w14:paraId="145858A4"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-,008</w:t>
            </w:r>
          </w:p>
        </w:tc>
        <w:tc>
          <w:tcPr>
            <w:tcW w:w="0" w:type="auto"/>
          </w:tcPr>
          <w:p w14:paraId="1C4D3A56"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-,504</w:t>
            </w:r>
          </w:p>
        </w:tc>
        <w:tc>
          <w:tcPr>
            <w:tcW w:w="0" w:type="auto"/>
          </w:tcPr>
          <w:p w14:paraId="59C3B5E7"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-,348</w:t>
            </w:r>
          </w:p>
        </w:tc>
        <w:tc>
          <w:tcPr>
            <w:tcW w:w="0" w:type="auto"/>
          </w:tcPr>
          <w:p w14:paraId="442655C1"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-,464</w:t>
            </w:r>
          </w:p>
        </w:tc>
        <w:tc>
          <w:tcPr>
            <w:tcW w:w="0" w:type="auto"/>
          </w:tcPr>
          <w:p w14:paraId="0DB4AA1A"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-,440</w:t>
            </w:r>
          </w:p>
        </w:tc>
        <w:tc>
          <w:tcPr>
            <w:tcW w:w="0" w:type="auto"/>
          </w:tcPr>
          <w:p w14:paraId="66EE6AE1"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-,383</w:t>
            </w:r>
          </w:p>
        </w:tc>
        <w:tc>
          <w:tcPr>
            <w:tcW w:w="0" w:type="auto"/>
          </w:tcPr>
          <w:p w14:paraId="638725DC"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-,405</w:t>
            </w:r>
          </w:p>
        </w:tc>
        <w:tc>
          <w:tcPr>
            <w:tcW w:w="0" w:type="auto"/>
          </w:tcPr>
          <w:p w14:paraId="52C446E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-,047</w:t>
            </w:r>
          </w:p>
        </w:tc>
      </w:tr>
      <w:tr w:rsidR="008868C0" w:rsidRPr="00DC5398" w14:paraId="3FC291C4" w14:textId="77777777" w:rsidTr="008868C0">
        <w:trPr>
          <w:trHeight w:val="449"/>
          <w:jc w:val="center"/>
        </w:trPr>
        <w:tc>
          <w:tcPr>
            <w:tcW w:w="0" w:type="auto"/>
            <w:vMerge/>
          </w:tcPr>
          <w:p w14:paraId="06D4AEF8" w14:textId="77777777" w:rsidR="00DA5CB4" w:rsidRPr="00DC5398" w:rsidRDefault="00DA5CB4" w:rsidP="00DC5398">
            <w:pPr>
              <w:keepNext/>
              <w:keepLines/>
              <w:spacing w:before="120"/>
              <w:outlineLvl w:val="0"/>
              <w:rPr>
                <w:rFonts w:ascii="Times New Roman" w:eastAsiaTheme="majorEastAsia" w:hAnsi="Times New Roman" w:cs="Times New Roman"/>
                <w:color w:val="000000"/>
                <w:sz w:val="16"/>
                <w:szCs w:val="16"/>
              </w:rPr>
            </w:pPr>
          </w:p>
        </w:tc>
        <w:tc>
          <w:tcPr>
            <w:tcW w:w="0" w:type="auto"/>
          </w:tcPr>
          <w:p w14:paraId="28491C90"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PKB</w:t>
            </w:r>
          </w:p>
        </w:tc>
        <w:tc>
          <w:tcPr>
            <w:tcW w:w="0" w:type="auto"/>
          </w:tcPr>
          <w:p w14:paraId="17D98A3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,610</w:t>
            </w:r>
          </w:p>
        </w:tc>
        <w:tc>
          <w:tcPr>
            <w:tcW w:w="0" w:type="auto"/>
          </w:tcPr>
          <w:p w14:paraId="0F975764"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,659</w:t>
            </w:r>
          </w:p>
        </w:tc>
        <w:tc>
          <w:tcPr>
            <w:tcW w:w="0" w:type="auto"/>
          </w:tcPr>
          <w:p w14:paraId="3C0045C9"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-,556</w:t>
            </w:r>
          </w:p>
        </w:tc>
        <w:tc>
          <w:tcPr>
            <w:tcW w:w="0" w:type="auto"/>
          </w:tcPr>
          <w:p w14:paraId="7181FB2B"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1,000</w:t>
            </w:r>
          </w:p>
        </w:tc>
        <w:tc>
          <w:tcPr>
            <w:tcW w:w="0" w:type="auto"/>
          </w:tcPr>
          <w:p w14:paraId="228DA7F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-,055</w:t>
            </w:r>
          </w:p>
        </w:tc>
        <w:tc>
          <w:tcPr>
            <w:tcW w:w="0" w:type="auto"/>
          </w:tcPr>
          <w:p w14:paraId="2F70A430" w14:textId="77777777" w:rsidR="00DA5CB4" w:rsidRPr="00DC5398" w:rsidRDefault="00DA5CB4" w:rsidP="00DD6A27">
            <w:pPr>
              <w:keepNext/>
              <w:keepLines/>
              <w:spacing w:before="120"/>
              <w:jc w:val="right"/>
              <w:outlineLvl w:val="0"/>
              <w:rPr>
                <w:rFonts w:ascii="Times New Roman" w:eastAsiaTheme="majorEastAsia" w:hAnsi="Times New Roman" w:cs="Times New Roman"/>
                <w:b/>
                <w:bCs/>
                <w:color w:val="000000"/>
                <w:sz w:val="16"/>
                <w:szCs w:val="16"/>
              </w:rPr>
            </w:pPr>
            <w:r w:rsidRPr="00DC5398">
              <w:rPr>
                <w:rFonts w:ascii="Times New Roman" w:eastAsiaTheme="majorEastAsia" w:hAnsi="Times New Roman" w:cs="Times New Roman"/>
                <w:b/>
                <w:bCs/>
                <w:color w:val="000000"/>
                <w:sz w:val="16"/>
                <w:szCs w:val="16"/>
              </w:rPr>
              <w:t>,748</w:t>
            </w:r>
          </w:p>
        </w:tc>
        <w:tc>
          <w:tcPr>
            <w:tcW w:w="0" w:type="auto"/>
          </w:tcPr>
          <w:p w14:paraId="0F57A4E6"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,484</w:t>
            </w:r>
          </w:p>
        </w:tc>
        <w:tc>
          <w:tcPr>
            <w:tcW w:w="0" w:type="auto"/>
          </w:tcPr>
          <w:p w14:paraId="305DCEC4"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,561</w:t>
            </w:r>
          </w:p>
        </w:tc>
        <w:tc>
          <w:tcPr>
            <w:tcW w:w="0" w:type="auto"/>
          </w:tcPr>
          <w:p w14:paraId="19D20C6C"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,625</w:t>
            </w:r>
          </w:p>
        </w:tc>
        <w:tc>
          <w:tcPr>
            <w:tcW w:w="0" w:type="auto"/>
          </w:tcPr>
          <w:p w14:paraId="2A334F3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,489</w:t>
            </w:r>
          </w:p>
        </w:tc>
        <w:tc>
          <w:tcPr>
            <w:tcW w:w="0" w:type="auto"/>
          </w:tcPr>
          <w:p w14:paraId="0D720157"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,536</w:t>
            </w:r>
          </w:p>
        </w:tc>
        <w:tc>
          <w:tcPr>
            <w:tcW w:w="0" w:type="auto"/>
          </w:tcPr>
          <w:p w14:paraId="69AA27B7"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,129</w:t>
            </w:r>
          </w:p>
        </w:tc>
      </w:tr>
      <w:tr w:rsidR="008868C0" w:rsidRPr="00DC5398" w14:paraId="41ACAC4D" w14:textId="77777777" w:rsidTr="008868C0">
        <w:trPr>
          <w:trHeight w:val="449"/>
          <w:jc w:val="center"/>
        </w:trPr>
        <w:tc>
          <w:tcPr>
            <w:tcW w:w="0" w:type="auto"/>
            <w:vMerge/>
          </w:tcPr>
          <w:p w14:paraId="265ED077" w14:textId="77777777" w:rsidR="00DA5CB4" w:rsidRPr="00DC5398" w:rsidRDefault="00DA5CB4" w:rsidP="00DC5398">
            <w:pPr>
              <w:keepNext/>
              <w:keepLines/>
              <w:spacing w:before="120"/>
              <w:outlineLvl w:val="0"/>
              <w:rPr>
                <w:rFonts w:ascii="Times New Roman" w:eastAsiaTheme="majorEastAsia" w:hAnsi="Times New Roman" w:cs="Times New Roman"/>
                <w:color w:val="000000"/>
                <w:sz w:val="16"/>
                <w:szCs w:val="16"/>
              </w:rPr>
            </w:pPr>
          </w:p>
        </w:tc>
        <w:tc>
          <w:tcPr>
            <w:tcW w:w="0" w:type="auto"/>
          </w:tcPr>
          <w:p w14:paraId="1E702AEB"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COIL</w:t>
            </w:r>
          </w:p>
        </w:tc>
        <w:tc>
          <w:tcPr>
            <w:tcW w:w="0" w:type="auto"/>
          </w:tcPr>
          <w:p w14:paraId="502B2A00" w14:textId="77777777" w:rsidR="00DA5CB4" w:rsidRPr="00DC5398" w:rsidRDefault="00DA5CB4" w:rsidP="00DD6A27">
            <w:pPr>
              <w:keepNext/>
              <w:keepLines/>
              <w:spacing w:before="120"/>
              <w:jc w:val="right"/>
              <w:outlineLvl w:val="0"/>
              <w:rPr>
                <w:rFonts w:ascii="Times New Roman" w:eastAsiaTheme="majorEastAsia" w:hAnsi="Times New Roman" w:cs="Times New Roman"/>
                <w:b/>
                <w:bCs/>
                <w:color w:val="000000"/>
                <w:sz w:val="16"/>
                <w:szCs w:val="16"/>
              </w:rPr>
            </w:pPr>
            <w:r w:rsidRPr="00DC5398">
              <w:rPr>
                <w:rFonts w:ascii="Times New Roman" w:eastAsiaTheme="majorEastAsia" w:hAnsi="Times New Roman" w:cs="Times New Roman"/>
                <w:b/>
                <w:bCs/>
                <w:color w:val="000000"/>
                <w:sz w:val="16"/>
                <w:szCs w:val="16"/>
              </w:rPr>
              <w:t>-,047</w:t>
            </w:r>
          </w:p>
        </w:tc>
        <w:tc>
          <w:tcPr>
            <w:tcW w:w="0" w:type="auto"/>
          </w:tcPr>
          <w:p w14:paraId="22F7176C"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-,058</w:t>
            </w:r>
          </w:p>
        </w:tc>
        <w:tc>
          <w:tcPr>
            <w:tcW w:w="0" w:type="auto"/>
          </w:tcPr>
          <w:p w14:paraId="7C4A4067"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-,008</w:t>
            </w:r>
          </w:p>
        </w:tc>
        <w:tc>
          <w:tcPr>
            <w:tcW w:w="0" w:type="auto"/>
          </w:tcPr>
          <w:p w14:paraId="4795BC2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-,055</w:t>
            </w:r>
          </w:p>
        </w:tc>
        <w:tc>
          <w:tcPr>
            <w:tcW w:w="0" w:type="auto"/>
          </w:tcPr>
          <w:p w14:paraId="565F42FC"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1,000</w:t>
            </w:r>
          </w:p>
        </w:tc>
        <w:tc>
          <w:tcPr>
            <w:tcW w:w="0" w:type="auto"/>
          </w:tcPr>
          <w:p w14:paraId="1F99A733"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-,076</w:t>
            </w:r>
          </w:p>
        </w:tc>
        <w:tc>
          <w:tcPr>
            <w:tcW w:w="0" w:type="auto"/>
          </w:tcPr>
          <w:p w14:paraId="64B00759"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-,051</w:t>
            </w:r>
          </w:p>
        </w:tc>
        <w:tc>
          <w:tcPr>
            <w:tcW w:w="0" w:type="auto"/>
          </w:tcPr>
          <w:p w14:paraId="5016C789"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-,051</w:t>
            </w:r>
          </w:p>
        </w:tc>
        <w:tc>
          <w:tcPr>
            <w:tcW w:w="0" w:type="auto"/>
          </w:tcPr>
          <w:p w14:paraId="14F1A35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-,030</w:t>
            </w:r>
          </w:p>
        </w:tc>
        <w:tc>
          <w:tcPr>
            <w:tcW w:w="0" w:type="auto"/>
          </w:tcPr>
          <w:p w14:paraId="15133E6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-,006</w:t>
            </w:r>
          </w:p>
        </w:tc>
        <w:tc>
          <w:tcPr>
            <w:tcW w:w="0" w:type="auto"/>
          </w:tcPr>
          <w:p w14:paraId="1E4CF4EB"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-,027</w:t>
            </w:r>
          </w:p>
        </w:tc>
        <w:tc>
          <w:tcPr>
            <w:tcW w:w="0" w:type="auto"/>
          </w:tcPr>
          <w:p w14:paraId="095CA18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,054</w:t>
            </w:r>
          </w:p>
        </w:tc>
      </w:tr>
      <w:tr w:rsidR="008868C0" w:rsidRPr="00DC5398" w14:paraId="0110046F" w14:textId="77777777" w:rsidTr="008868C0">
        <w:trPr>
          <w:trHeight w:val="449"/>
          <w:jc w:val="center"/>
        </w:trPr>
        <w:tc>
          <w:tcPr>
            <w:tcW w:w="0" w:type="auto"/>
            <w:vMerge/>
          </w:tcPr>
          <w:p w14:paraId="185AE908" w14:textId="77777777" w:rsidR="00DA5CB4" w:rsidRPr="00DC5398" w:rsidRDefault="00DA5CB4" w:rsidP="00DC5398">
            <w:pPr>
              <w:keepNext/>
              <w:keepLines/>
              <w:spacing w:before="120"/>
              <w:outlineLvl w:val="0"/>
              <w:rPr>
                <w:rFonts w:ascii="Times New Roman" w:eastAsiaTheme="majorEastAsia" w:hAnsi="Times New Roman" w:cs="Times New Roman"/>
                <w:color w:val="000000"/>
                <w:sz w:val="16"/>
                <w:szCs w:val="16"/>
              </w:rPr>
            </w:pPr>
          </w:p>
        </w:tc>
        <w:tc>
          <w:tcPr>
            <w:tcW w:w="0" w:type="auto"/>
          </w:tcPr>
          <w:p w14:paraId="72AA9053"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HD</w:t>
            </w:r>
          </w:p>
        </w:tc>
        <w:tc>
          <w:tcPr>
            <w:tcW w:w="0" w:type="auto"/>
          </w:tcPr>
          <w:p w14:paraId="146FB7BE"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,446</w:t>
            </w:r>
          </w:p>
        </w:tc>
        <w:tc>
          <w:tcPr>
            <w:tcW w:w="0" w:type="auto"/>
          </w:tcPr>
          <w:p w14:paraId="1CE8A39B" w14:textId="77777777" w:rsidR="00DA5CB4" w:rsidRPr="00DC5398" w:rsidRDefault="00DA5CB4" w:rsidP="00DD6A27">
            <w:pPr>
              <w:keepNext/>
              <w:keepLines/>
              <w:spacing w:before="120"/>
              <w:jc w:val="right"/>
              <w:outlineLvl w:val="0"/>
              <w:rPr>
                <w:rFonts w:ascii="Times New Roman" w:eastAsiaTheme="majorEastAsia" w:hAnsi="Times New Roman" w:cs="Times New Roman"/>
                <w:b/>
                <w:bCs/>
                <w:color w:val="000000"/>
                <w:sz w:val="16"/>
                <w:szCs w:val="16"/>
              </w:rPr>
            </w:pPr>
            <w:r w:rsidRPr="00DC5398">
              <w:rPr>
                <w:rFonts w:ascii="Times New Roman" w:eastAsiaTheme="majorEastAsia" w:hAnsi="Times New Roman" w:cs="Times New Roman"/>
                <w:b/>
                <w:bCs/>
                <w:color w:val="000000"/>
                <w:sz w:val="16"/>
                <w:szCs w:val="16"/>
              </w:rPr>
              <w:t>,749</w:t>
            </w:r>
          </w:p>
        </w:tc>
        <w:tc>
          <w:tcPr>
            <w:tcW w:w="0" w:type="auto"/>
          </w:tcPr>
          <w:p w14:paraId="23D931E6"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-,504</w:t>
            </w:r>
          </w:p>
        </w:tc>
        <w:tc>
          <w:tcPr>
            <w:tcW w:w="0" w:type="auto"/>
          </w:tcPr>
          <w:p w14:paraId="5E5C0E0F"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,748</w:t>
            </w:r>
          </w:p>
        </w:tc>
        <w:tc>
          <w:tcPr>
            <w:tcW w:w="0" w:type="auto"/>
          </w:tcPr>
          <w:p w14:paraId="0C94368F"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-,076</w:t>
            </w:r>
          </w:p>
        </w:tc>
        <w:tc>
          <w:tcPr>
            <w:tcW w:w="0" w:type="auto"/>
          </w:tcPr>
          <w:p w14:paraId="2CFDCF03"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1,000</w:t>
            </w:r>
          </w:p>
        </w:tc>
        <w:tc>
          <w:tcPr>
            <w:tcW w:w="0" w:type="auto"/>
          </w:tcPr>
          <w:p w14:paraId="1FFB6F5F"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,507</w:t>
            </w:r>
          </w:p>
        </w:tc>
        <w:tc>
          <w:tcPr>
            <w:tcW w:w="0" w:type="auto"/>
          </w:tcPr>
          <w:p w14:paraId="0BEC5BB8"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,422</w:t>
            </w:r>
          </w:p>
        </w:tc>
        <w:tc>
          <w:tcPr>
            <w:tcW w:w="0" w:type="auto"/>
          </w:tcPr>
          <w:p w14:paraId="05874AE9"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,464</w:t>
            </w:r>
          </w:p>
        </w:tc>
        <w:tc>
          <w:tcPr>
            <w:tcW w:w="0" w:type="auto"/>
          </w:tcPr>
          <w:p w14:paraId="32516E70"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,383</w:t>
            </w:r>
          </w:p>
        </w:tc>
        <w:tc>
          <w:tcPr>
            <w:tcW w:w="0" w:type="auto"/>
          </w:tcPr>
          <w:p w14:paraId="79069574"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,374</w:t>
            </w:r>
          </w:p>
        </w:tc>
        <w:tc>
          <w:tcPr>
            <w:tcW w:w="0" w:type="auto"/>
          </w:tcPr>
          <w:p w14:paraId="0CA06A05"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,133</w:t>
            </w:r>
          </w:p>
        </w:tc>
      </w:tr>
      <w:tr w:rsidR="008868C0" w:rsidRPr="00DC5398" w14:paraId="53432532" w14:textId="77777777" w:rsidTr="008868C0">
        <w:trPr>
          <w:trHeight w:val="449"/>
          <w:jc w:val="center"/>
        </w:trPr>
        <w:tc>
          <w:tcPr>
            <w:tcW w:w="0" w:type="auto"/>
            <w:vMerge/>
          </w:tcPr>
          <w:p w14:paraId="5E86B5CB" w14:textId="77777777" w:rsidR="00DA5CB4" w:rsidRPr="00DC5398" w:rsidRDefault="00DA5CB4" w:rsidP="00DC5398">
            <w:pPr>
              <w:keepNext/>
              <w:keepLines/>
              <w:spacing w:before="120"/>
              <w:outlineLvl w:val="0"/>
              <w:rPr>
                <w:rFonts w:ascii="Times New Roman" w:eastAsiaTheme="majorEastAsia" w:hAnsi="Times New Roman" w:cs="Times New Roman"/>
                <w:color w:val="000000"/>
                <w:sz w:val="16"/>
                <w:szCs w:val="16"/>
              </w:rPr>
            </w:pPr>
          </w:p>
        </w:tc>
        <w:tc>
          <w:tcPr>
            <w:tcW w:w="0" w:type="auto"/>
          </w:tcPr>
          <w:p w14:paraId="70F911AC"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NEE</w:t>
            </w:r>
          </w:p>
        </w:tc>
        <w:tc>
          <w:tcPr>
            <w:tcW w:w="0" w:type="auto"/>
          </w:tcPr>
          <w:p w14:paraId="1E27F27D"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,304</w:t>
            </w:r>
          </w:p>
        </w:tc>
        <w:tc>
          <w:tcPr>
            <w:tcW w:w="0" w:type="auto"/>
          </w:tcPr>
          <w:p w14:paraId="7D8E7AC0"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,583</w:t>
            </w:r>
          </w:p>
        </w:tc>
        <w:tc>
          <w:tcPr>
            <w:tcW w:w="0" w:type="auto"/>
          </w:tcPr>
          <w:p w14:paraId="5E0813AE"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-,348</w:t>
            </w:r>
          </w:p>
        </w:tc>
        <w:tc>
          <w:tcPr>
            <w:tcW w:w="0" w:type="auto"/>
          </w:tcPr>
          <w:p w14:paraId="76E7E4D5"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,484</w:t>
            </w:r>
          </w:p>
        </w:tc>
        <w:tc>
          <w:tcPr>
            <w:tcW w:w="0" w:type="auto"/>
          </w:tcPr>
          <w:p w14:paraId="3942AB6D"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-,051</w:t>
            </w:r>
          </w:p>
        </w:tc>
        <w:tc>
          <w:tcPr>
            <w:tcW w:w="0" w:type="auto"/>
          </w:tcPr>
          <w:p w14:paraId="4DB74BBD"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,507</w:t>
            </w:r>
          </w:p>
        </w:tc>
        <w:tc>
          <w:tcPr>
            <w:tcW w:w="0" w:type="auto"/>
          </w:tcPr>
          <w:p w14:paraId="0BE17505"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1,000</w:t>
            </w:r>
          </w:p>
        </w:tc>
        <w:tc>
          <w:tcPr>
            <w:tcW w:w="0" w:type="auto"/>
          </w:tcPr>
          <w:p w14:paraId="6352EEBF"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,293</w:t>
            </w:r>
          </w:p>
        </w:tc>
        <w:tc>
          <w:tcPr>
            <w:tcW w:w="0" w:type="auto"/>
          </w:tcPr>
          <w:p w14:paraId="7F9DFC7C"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,248</w:t>
            </w:r>
          </w:p>
        </w:tc>
        <w:tc>
          <w:tcPr>
            <w:tcW w:w="0" w:type="auto"/>
          </w:tcPr>
          <w:p w14:paraId="6AEC1ED9"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,296</w:t>
            </w:r>
          </w:p>
        </w:tc>
        <w:tc>
          <w:tcPr>
            <w:tcW w:w="0" w:type="auto"/>
          </w:tcPr>
          <w:p w14:paraId="7F686A2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,229</w:t>
            </w:r>
          </w:p>
        </w:tc>
        <w:tc>
          <w:tcPr>
            <w:tcW w:w="0" w:type="auto"/>
          </w:tcPr>
          <w:p w14:paraId="63BC8B91"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,227</w:t>
            </w:r>
          </w:p>
        </w:tc>
      </w:tr>
      <w:tr w:rsidR="008868C0" w:rsidRPr="00DC5398" w14:paraId="40CCCFE8" w14:textId="77777777" w:rsidTr="008868C0">
        <w:trPr>
          <w:trHeight w:val="449"/>
          <w:jc w:val="center"/>
        </w:trPr>
        <w:tc>
          <w:tcPr>
            <w:tcW w:w="0" w:type="auto"/>
            <w:vMerge/>
          </w:tcPr>
          <w:p w14:paraId="51F6E21A" w14:textId="77777777" w:rsidR="00DA5CB4" w:rsidRPr="00DC5398" w:rsidRDefault="00DA5CB4" w:rsidP="00DC5398">
            <w:pPr>
              <w:keepNext/>
              <w:keepLines/>
              <w:spacing w:before="120"/>
              <w:outlineLvl w:val="0"/>
              <w:rPr>
                <w:rFonts w:ascii="Times New Roman" w:eastAsiaTheme="majorEastAsia" w:hAnsi="Times New Roman" w:cs="Times New Roman"/>
                <w:color w:val="000000"/>
                <w:sz w:val="16"/>
                <w:szCs w:val="16"/>
              </w:rPr>
            </w:pPr>
          </w:p>
        </w:tc>
        <w:tc>
          <w:tcPr>
            <w:tcW w:w="0" w:type="auto"/>
          </w:tcPr>
          <w:p w14:paraId="074CF1B7"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SCCO</w:t>
            </w:r>
          </w:p>
        </w:tc>
        <w:tc>
          <w:tcPr>
            <w:tcW w:w="0" w:type="auto"/>
          </w:tcPr>
          <w:p w14:paraId="2DE1AD08"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,608</w:t>
            </w:r>
          </w:p>
        </w:tc>
        <w:tc>
          <w:tcPr>
            <w:tcW w:w="0" w:type="auto"/>
          </w:tcPr>
          <w:p w14:paraId="45B7E48C"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,592</w:t>
            </w:r>
          </w:p>
        </w:tc>
        <w:tc>
          <w:tcPr>
            <w:tcW w:w="0" w:type="auto"/>
          </w:tcPr>
          <w:p w14:paraId="3AC7A421"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-,464</w:t>
            </w:r>
          </w:p>
        </w:tc>
        <w:tc>
          <w:tcPr>
            <w:tcW w:w="0" w:type="auto"/>
          </w:tcPr>
          <w:p w14:paraId="17F05497"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,561</w:t>
            </w:r>
          </w:p>
        </w:tc>
        <w:tc>
          <w:tcPr>
            <w:tcW w:w="0" w:type="auto"/>
          </w:tcPr>
          <w:p w14:paraId="79E9ED15"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-,051</w:t>
            </w:r>
          </w:p>
        </w:tc>
        <w:tc>
          <w:tcPr>
            <w:tcW w:w="0" w:type="auto"/>
          </w:tcPr>
          <w:p w14:paraId="1E3942BB"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,422</w:t>
            </w:r>
          </w:p>
        </w:tc>
        <w:tc>
          <w:tcPr>
            <w:tcW w:w="0" w:type="auto"/>
          </w:tcPr>
          <w:p w14:paraId="15C1BC67"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,293</w:t>
            </w:r>
          </w:p>
        </w:tc>
        <w:tc>
          <w:tcPr>
            <w:tcW w:w="0" w:type="auto"/>
          </w:tcPr>
          <w:p w14:paraId="4465854C"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1,000</w:t>
            </w:r>
          </w:p>
        </w:tc>
        <w:tc>
          <w:tcPr>
            <w:tcW w:w="0" w:type="auto"/>
          </w:tcPr>
          <w:p w14:paraId="05B79233"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,600</w:t>
            </w:r>
          </w:p>
        </w:tc>
        <w:tc>
          <w:tcPr>
            <w:tcW w:w="0" w:type="auto"/>
          </w:tcPr>
          <w:p w14:paraId="6E705CFB"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,399</w:t>
            </w:r>
          </w:p>
        </w:tc>
        <w:tc>
          <w:tcPr>
            <w:tcW w:w="0" w:type="auto"/>
          </w:tcPr>
          <w:p w14:paraId="67ABFAB3"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,669</w:t>
            </w:r>
          </w:p>
        </w:tc>
        <w:tc>
          <w:tcPr>
            <w:tcW w:w="0" w:type="auto"/>
          </w:tcPr>
          <w:p w14:paraId="4BBD860F"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,221</w:t>
            </w:r>
          </w:p>
        </w:tc>
      </w:tr>
      <w:tr w:rsidR="008868C0" w:rsidRPr="00DC5398" w14:paraId="32E359A6" w14:textId="77777777" w:rsidTr="008868C0">
        <w:trPr>
          <w:trHeight w:val="449"/>
          <w:jc w:val="center"/>
        </w:trPr>
        <w:tc>
          <w:tcPr>
            <w:tcW w:w="0" w:type="auto"/>
            <w:vMerge/>
          </w:tcPr>
          <w:p w14:paraId="0C50C4B0" w14:textId="77777777" w:rsidR="00DA5CB4" w:rsidRPr="00DC5398" w:rsidRDefault="00DA5CB4" w:rsidP="00DC5398">
            <w:pPr>
              <w:keepNext/>
              <w:keepLines/>
              <w:spacing w:before="120"/>
              <w:outlineLvl w:val="0"/>
              <w:rPr>
                <w:rFonts w:ascii="Times New Roman" w:eastAsiaTheme="majorEastAsia" w:hAnsi="Times New Roman" w:cs="Times New Roman"/>
                <w:color w:val="000000"/>
                <w:sz w:val="16"/>
                <w:szCs w:val="16"/>
              </w:rPr>
            </w:pPr>
          </w:p>
        </w:tc>
        <w:tc>
          <w:tcPr>
            <w:tcW w:w="0" w:type="auto"/>
          </w:tcPr>
          <w:p w14:paraId="11963968"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STLD</w:t>
            </w:r>
          </w:p>
        </w:tc>
        <w:tc>
          <w:tcPr>
            <w:tcW w:w="0" w:type="auto"/>
          </w:tcPr>
          <w:p w14:paraId="4B24F75D"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,610</w:t>
            </w:r>
          </w:p>
        </w:tc>
        <w:tc>
          <w:tcPr>
            <w:tcW w:w="0" w:type="auto"/>
          </w:tcPr>
          <w:p w14:paraId="6432878B"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,593</w:t>
            </w:r>
          </w:p>
        </w:tc>
        <w:tc>
          <w:tcPr>
            <w:tcW w:w="0" w:type="auto"/>
          </w:tcPr>
          <w:p w14:paraId="0186DAC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-,440</w:t>
            </w:r>
          </w:p>
        </w:tc>
        <w:tc>
          <w:tcPr>
            <w:tcW w:w="0" w:type="auto"/>
          </w:tcPr>
          <w:p w14:paraId="2D82F03C"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,625</w:t>
            </w:r>
          </w:p>
        </w:tc>
        <w:tc>
          <w:tcPr>
            <w:tcW w:w="0" w:type="auto"/>
          </w:tcPr>
          <w:p w14:paraId="13470AA3"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-,030</w:t>
            </w:r>
          </w:p>
        </w:tc>
        <w:tc>
          <w:tcPr>
            <w:tcW w:w="0" w:type="auto"/>
          </w:tcPr>
          <w:p w14:paraId="276FD038"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,464</w:t>
            </w:r>
          </w:p>
        </w:tc>
        <w:tc>
          <w:tcPr>
            <w:tcW w:w="0" w:type="auto"/>
          </w:tcPr>
          <w:p w14:paraId="0793AAA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,248</w:t>
            </w:r>
          </w:p>
        </w:tc>
        <w:tc>
          <w:tcPr>
            <w:tcW w:w="0" w:type="auto"/>
          </w:tcPr>
          <w:p w14:paraId="4705C01C"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,600</w:t>
            </w:r>
          </w:p>
        </w:tc>
        <w:tc>
          <w:tcPr>
            <w:tcW w:w="0" w:type="auto"/>
          </w:tcPr>
          <w:p w14:paraId="42A7DDA8"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1,000</w:t>
            </w:r>
          </w:p>
        </w:tc>
        <w:tc>
          <w:tcPr>
            <w:tcW w:w="0" w:type="auto"/>
          </w:tcPr>
          <w:p w14:paraId="3CEF5258"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,417</w:t>
            </w:r>
          </w:p>
        </w:tc>
        <w:tc>
          <w:tcPr>
            <w:tcW w:w="0" w:type="auto"/>
          </w:tcPr>
          <w:p w14:paraId="4436CB6A"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,621</w:t>
            </w:r>
          </w:p>
        </w:tc>
        <w:tc>
          <w:tcPr>
            <w:tcW w:w="0" w:type="auto"/>
          </w:tcPr>
          <w:p w14:paraId="05268C5C"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,025</w:t>
            </w:r>
          </w:p>
        </w:tc>
      </w:tr>
      <w:tr w:rsidR="008868C0" w:rsidRPr="00DC5398" w14:paraId="1921C9DD" w14:textId="77777777" w:rsidTr="008868C0">
        <w:trPr>
          <w:trHeight w:val="449"/>
          <w:jc w:val="center"/>
        </w:trPr>
        <w:tc>
          <w:tcPr>
            <w:tcW w:w="0" w:type="auto"/>
            <w:vMerge/>
          </w:tcPr>
          <w:p w14:paraId="56F2FFEF" w14:textId="77777777" w:rsidR="00DA5CB4" w:rsidRPr="00DC5398" w:rsidRDefault="00DA5CB4" w:rsidP="00DC5398">
            <w:pPr>
              <w:keepNext/>
              <w:keepLines/>
              <w:spacing w:before="120"/>
              <w:outlineLvl w:val="0"/>
              <w:rPr>
                <w:rFonts w:ascii="Times New Roman" w:eastAsiaTheme="majorEastAsia" w:hAnsi="Times New Roman" w:cs="Times New Roman"/>
                <w:color w:val="000000"/>
                <w:sz w:val="16"/>
                <w:szCs w:val="16"/>
              </w:rPr>
            </w:pPr>
          </w:p>
        </w:tc>
        <w:tc>
          <w:tcPr>
            <w:tcW w:w="0" w:type="auto"/>
          </w:tcPr>
          <w:p w14:paraId="43514A5E"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BRDCY</w:t>
            </w:r>
          </w:p>
        </w:tc>
        <w:tc>
          <w:tcPr>
            <w:tcW w:w="0" w:type="auto"/>
          </w:tcPr>
          <w:p w14:paraId="209ECA1F"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,403</w:t>
            </w:r>
          </w:p>
        </w:tc>
        <w:tc>
          <w:tcPr>
            <w:tcW w:w="0" w:type="auto"/>
          </w:tcPr>
          <w:p w14:paraId="06BCD62A"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,517</w:t>
            </w:r>
          </w:p>
        </w:tc>
        <w:tc>
          <w:tcPr>
            <w:tcW w:w="0" w:type="auto"/>
          </w:tcPr>
          <w:p w14:paraId="1570C700"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-,383</w:t>
            </w:r>
          </w:p>
        </w:tc>
        <w:tc>
          <w:tcPr>
            <w:tcW w:w="0" w:type="auto"/>
          </w:tcPr>
          <w:p w14:paraId="228F1841"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,489</w:t>
            </w:r>
          </w:p>
        </w:tc>
        <w:tc>
          <w:tcPr>
            <w:tcW w:w="0" w:type="auto"/>
          </w:tcPr>
          <w:p w14:paraId="66A23381"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-,006</w:t>
            </w:r>
          </w:p>
        </w:tc>
        <w:tc>
          <w:tcPr>
            <w:tcW w:w="0" w:type="auto"/>
          </w:tcPr>
          <w:p w14:paraId="779EB70C"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,383</w:t>
            </w:r>
          </w:p>
        </w:tc>
        <w:tc>
          <w:tcPr>
            <w:tcW w:w="0" w:type="auto"/>
          </w:tcPr>
          <w:p w14:paraId="1EE149BD"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,296</w:t>
            </w:r>
          </w:p>
        </w:tc>
        <w:tc>
          <w:tcPr>
            <w:tcW w:w="0" w:type="auto"/>
          </w:tcPr>
          <w:p w14:paraId="43D68D3C"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,399</w:t>
            </w:r>
          </w:p>
        </w:tc>
        <w:tc>
          <w:tcPr>
            <w:tcW w:w="0" w:type="auto"/>
          </w:tcPr>
          <w:p w14:paraId="18F50BC5"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,417</w:t>
            </w:r>
          </w:p>
        </w:tc>
        <w:tc>
          <w:tcPr>
            <w:tcW w:w="0" w:type="auto"/>
          </w:tcPr>
          <w:p w14:paraId="0BD1374C"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1,000</w:t>
            </w:r>
          </w:p>
        </w:tc>
        <w:tc>
          <w:tcPr>
            <w:tcW w:w="0" w:type="auto"/>
          </w:tcPr>
          <w:p w14:paraId="744310F5"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,394</w:t>
            </w:r>
          </w:p>
        </w:tc>
        <w:tc>
          <w:tcPr>
            <w:tcW w:w="0" w:type="auto"/>
          </w:tcPr>
          <w:p w14:paraId="4BEE899B"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,068</w:t>
            </w:r>
          </w:p>
        </w:tc>
      </w:tr>
      <w:tr w:rsidR="008868C0" w:rsidRPr="00DC5398" w14:paraId="78593DF7" w14:textId="77777777" w:rsidTr="008868C0">
        <w:trPr>
          <w:trHeight w:val="449"/>
          <w:jc w:val="center"/>
        </w:trPr>
        <w:tc>
          <w:tcPr>
            <w:tcW w:w="0" w:type="auto"/>
            <w:vMerge/>
          </w:tcPr>
          <w:p w14:paraId="4049F2DC" w14:textId="77777777" w:rsidR="00DA5CB4" w:rsidRPr="00DC5398" w:rsidRDefault="00DA5CB4" w:rsidP="00DC5398">
            <w:pPr>
              <w:keepNext/>
              <w:keepLines/>
              <w:spacing w:before="120"/>
              <w:outlineLvl w:val="0"/>
              <w:rPr>
                <w:rFonts w:ascii="Times New Roman" w:eastAsiaTheme="majorEastAsia" w:hAnsi="Times New Roman" w:cs="Times New Roman"/>
                <w:color w:val="000000"/>
                <w:sz w:val="16"/>
                <w:szCs w:val="16"/>
              </w:rPr>
            </w:pPr>
          </w:p>
        </w:tc>
        <w:tc>
          <w:tcPr>
            <w:tcW w:w="0" w:type="auto"/>
          </w:tcPr>
          <w:p w14:paraId="6FF6B803"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AA</w:t>
            </w:r>
          </w:p>
        </w:tc>
        <w:tc>
          <w:tcPr>
            <w:tcW w:w="0" w:type="auto"/>
          </w:tcPr>
          <w:p w14:paraId="66FE3FFA"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,563</w:t>
            </w:r>
          </w:p>
        </w:tc>
        <w:tc>
          <w:tcPr>
            <w:tcW w:w="0" w:type="auto"/>
          </w:tcPr>
          <w:p w14:paraId="42E9417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,532</w:t>
            </w:r>
          </w:p>
        </w:tc>
        <w:tc>
          <w:tcPr>
            <w:tcW w:w="0" w:type="auto"/>
          </w:tcPr>
          <w:p w14:paraId="09809446"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-,405</w:t>
            </w:r>
          </w:p>
        </w:tc>
        <w:tc>
          <w:tcPr>
            <w:tcW w:w="0" w:type="auto"/>
          </w:tcPr>
          <w:p w14:paraId="24C4FD73"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,536</w:t>
            </w:r>
          </w:p>
        </w:tc>
        <w:tc>
          <w:tcPr>
            <w:tcW w:w="0" w:type="auto"/>
          </w:tcPr>
          <w:p w14:paraId="343BEB36"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-,027</w:t>
            </w:r>
          </w:p>
        </w:tc>
        <w:tc>
          <w:tcPr>
            <w:tcW w:w="0" w:type="auto"/>
          </w:tcPr>
          <w:p w14:paraId="79BB4690"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,374</w:t>
            </w:r>
          </w:p>
        </w:tc>
        <w:tc>
          <w:tcPr>
            <w:tcW w:w="0" w:type="auto"/>
          </w:tcPr>
          <w:p w14:paraId="208EFB40"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,229</w:t>
            </w:r>
          </w:p>
        </w:tc>
        <w:tc>
          <w:tcPr>
            <w:tcW w:w="0" w:type="auto"/>
          </w:tcPr>
          <w:p w14:paraId="2849805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,669</w:t>
            </w:r>
          </w:p>
        </w:tc>
        <w:tc>
          <w:tcPr>
            <w:tcW w:w="0" w:type="auto"/>
          </w:tcPr>
          <w:p w14:paraId="26CC9ADD"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,621</w:t>
            </w:r>
          </w:p>
        </w:tc>
        <w:tc>
          <w:tcPr>
            <w:tcW w:w="0" w:type="auto"/>
          </w:tcPr>
          <w:p w14:paraId="125DD84B"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,394</w:t>
            </w:r>
          </w:p>
        </w:tc>
        <w:tc>
          <w:tcPr>
            <w:tcW w:w="0" w:type="auto"/>
          </w:tcPr>
          <w:p w14:paraId="353F7E14"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1,000</w:t>
            </w:r>
          </w:p>
        </w:tc>
        <w:tc>
          <w:tcPr>
            <w:tcW w:w="0" w:type="auto"/>
          </w:tcPr>
          <w:p w14:paraId="5FD48E05"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,154</w:t>
            </w:r>
          </w:p>
        </w:tc>
      </w:tr>
      <w:tr w:rsidR="008868C0" w:rsidRPr="00DC5398" w14:paraId="34BEC141" w14:textId="77777777" w:rsidTr="008868C0">
        <w:trPr>
          <w:trHeight w:val="449"/>
          <w:jc w:val="center"/>
        </w:trPr>
        <w:tc>
          <w:tcPr>
            <w:tcW w:w="0" w:type="auto"/>
            <w:vMerge/>
          </w:tcPr>
          <w:p w14:paraId="12AB1901" w14:textId="77777777" w:rsidR="00DA5CB4" w:rsidRPr="00DC5398" w:rsidRDefault="00DA5CB4" w:rsidP="00DC5398">
            <w:pPr>
              <w:keepNext/>
              <w:keepLines/>
              <w:spacing w:before="120"/>
              <w:outlineLvl w:val="0"/>
              <w:rPr>
                <w:rFonts w:ascii="Times New Roman" w:eastAsiaTheme="majorEastAsia" w:hAnsi="Times New Roman" w:cs="Times New Roman"/>
                <w:color w:val="000000"/>
                <w:sz w:val="16"/>
                <w:szCs w:val="16"/>
              </w:rPr>
            </w:pPr>
          </w:p>
        </w:tc>
        <w:tc>
          <w:tcPr>
            <w:tcW w:w="0" w:type="auto"/>
          </w:tcPr>
          <w:p w14:paraId="48EB00F9" w14:textId="77777777" w:rsidR="00DA5CB4" w:rsidRPr="00DD6A27" w:rsidRDefault="00DA5CB4" w:rsidP="00DC5398">
            <w:pPr>
              <w:keepNext/>
              <w:keepLines/>
              <w:spacing w:before="120"/>
              <w:outlineLvl w:val="0"/>
              <w:rPr>
                <w:rFonts w:ascii="Times New Roman" w:eastAsiaTheme="majorEastAsia" w:hAnsi="Times New Roman" w:cs="Times New Roman"/>
                <w:color w:val="000000"/>
                <w:sz w:val="18"/>
                <w:szCs w:val="18"/>
              </w:rPr>
            </w:pPr>
            <w:r w:rsidRPr="00DD6A27">
              <w:rPr>
                <w:rFonts w:ascii="Times New Roman" w:eastAsiaTheme="majorEastAsia" w:hAnsi="Times New Roman" w:cs="Times New Roman"/>
                <w:color w:val="000000"/>
                <w:sz w:val="18"/>
                <w:szCs w:val="18"/>
              </w:rPr>
              <w:t>GLD</w:t>
            </w:r>
          </w:p>
        </w:tc>
        <w:tc>
          <w:tcPr>
            <w:tcW w:w="0" w:type="auto"/>
          </w:tcPr>
          <w:p w14:paraId="7A91207A" w14:textId="77777777" w:rsidR="00DA5CB4" w:rsidRPr="00DC5398" w:rsidRDefault="00DA5CB4" w:rsidP="00DD6A27">
            <w:pPr>
              <w:keepNext/>
              <w:keepLines/>
              <w:spacing w:before="120"/>
              <w:jc w:val="right"/>
              <w:outlineLvl w:val="0"/>
              <w:rPr>
                <w:rFonts w:ascii="Times New Roman" w:eastAsiaTheme="majorEastAsia" w:hAnsi="Times New Roman" w:cs="Times New Roman"/>
                <w:b/>
                <w:bCs/>
                <w:color w:val="000000"/>
                <w:sz w:val="16"/>
                <w:szCs w:val="16"/>
              </w:rPr>
            </w:pPr>
            <w:r w:rsidRPr="00DC5398">
              <w:rPr>
                <w:rFonts w:ascii="Times New Roman" w:eastAsiaTheme="majorEastAsia" w:hAnsi="Times New Roman" w:cs="Times New Roman"/>
                <w:b/>
                <w:bCs/>
                <w:color w:val="000000"/>
                <w:sz w:val="16"/>
                <w:szCs w:val="16"/>
              </w:rPr>
              <w:t>,022</w:t>
            </w:r>
          </w:p>
        </w:tc>
        <w:tc>
          <w:tcPr>
            <w:tcW w:w="0" w:type="auto"/>
          </w:tcPr>
          <w:p w14:paraId="2C97E839"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,114</w:t>
            </w:r>
          </w:p>
        </w:tc>
        <w:tc>
          <w:tcPr>
            <w:tcW w:w="0" w:type="auto"/>
          </w:tcPr>
          <w:p w14:paraId="5AB4AEF1"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-,047</w:t>
            </w:r>
          </w:p>
        </w:tc>
        <w:tc>
          <w:tcPr>
            <w:tcW w:w="0" w:type="auto"/>
          </w:tcPr>
          <w:p w14:paraId="60A84464"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,129</w:t>
            </w:r>
          </w:p>
        </w:tc>
        <w:tc>
          <w:tcPr>
            <w:tcW w:w="0" w:type="auto"/>
          </w:tcPr>
          <w:p w14:paraId="32549F4C"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,054</w:t>
            </w:r>
          </w:p>
        </w:tc>
        <w:tc>
          <w:tcPr>
            <w:tcW w:w="0" w:type="auto"/>
          </w:tcPr>
          <w:p w14:paraId="737000D2"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,133</w:t>
            </w:r>
          </w:p>
        </w:tc>
        <w:tc>
          <w:tcPr>
            <w:tcW w:w="0" w:type="auto"/>
          </w:tcPr>
          <w:p w14:paraId="2ADC6CCE"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,227</w:t>
            </w:r>
          </w:p>
        </w:tc>
        <w:tc>
          <w:tcPr>
            <w:tcW w:w="0" w:type="auto"/>
          </w:tcPr>
          <w:p w14:paraId="6546DFB1"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,221</w:t>
            </w:r>
          </w:p>
        </w:tc>
        <w:tc>
          <w:tcPr>
            <w:tcW w:w="0" w:type="auto"/>
          </w:tcPr>
          <w:p w14:paraId="6B0086BA"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,025</w:t>
            </w:r>
          </w:p>
        </w:tc>
        <w:tc>
          <w:tcPr>
            <w:tcW w:w="0" w:type="auto"/>
          </w:tcPr>
          <w:p w14:paraId="0E3D9053"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,068</w:t>
            </w:r>
          </w:p>
        </w:tc>
        <w:tc>
          <w:tcPr>
            <w:tcW w:w="0" w:type="auto"/>
          </w:tcPr>
          <w:p w14:paraId="6AD67247"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,154</w:t>
            </w:r>
          </w:p>
        </w:tc>
        <w:tc>
          <w:tcPr>
            <w:tcW w:w="0" w:type="auto"/>
          </w:tcPr>
          <w:p w14:paraId="3FEAFB7D" w14:textId="77777777" w:rsidR="00DA5CB4" w:rsidRPr="00DC5398" w:rsidRDefault="00DA5CB4" w:rsidP="00DD6A27">
            <w:pPr>
              <w:keepNext/>
              <w:keepLines/>
              <w:spacing w:before="120"/>
              <w:jc w:val="right"/>
              <w:outlineLvl w:val="0"/>
              <w:rPr>
                <w:rFonts w:ascii="Times New Roman" w:eastAsiaTheme="majorEastAsia" w:hAnsi="Times New Roman" w:cs="Times New Roman"/>
                <w:color w:val="000000"/>
                <w:sz w:val="16"/>
                <w:szCs w:val="16"/>
              </w:rPr>
            </w:pPr>
            <w:r w:rsidRPr="00DC5398">
              <w:rPr>
                <w:rFonts w:ascii="Times New Roman" w:eastAsiaTheme="majorEastAsia" w:hAnsi="Times New Roman" w:cs="Times New Roman"/>
                <w:color w:val="000000"/>
                <w:sz w:val="16"/>
                <w:szCs w:val="16"/>
              </w:rPr>
              <w:t>1,000</w:t>
            </w:r>
          </w:p>
        </w:tc>
      </w:tr>
    </w:tbl>
    <w:p w14:paraId="0500B448" w14:textId="77777777" w:rsidR="00DE0759" w:rsidRDefault="00C75EF1" w:rsidP="007F3DB6">
      <w:pPr>
        <w:jc w:val="both"/>
        <w:rPr>
          <w:rFonts w:ascii="Times New Roman" w:hAnsi="Times New Roman" w:cs="Times New Roman"/>
        </w:rPr>
      </w:pPr>
      <w:bookmarkStart w:id="28" w:name="_Hlk162431434"/>
      <w:r>
        <w:rPr>
          <w:rFonts w:ascii="Times New Roman" w:hAnsi="Times New Roman" w:cs="Times New Roman"/>
        </w:rPr>
        <w:t xml:space="preserve">Извор: </w:t>
      </w:r>
      <w:r w:rsidRPr="00C75EF1">
        <w:rPr>
          <w:rFonts w:ascii="Times New Roman" w:hAnsi="Times New Roman" w:cs="Times New Roman"/>
        </w:rPr>
        <w:t>Калкулација аутора на основу SPSS-а</w:t>
      </w:r>
    </w:p>
    <w:bookmarkEnd w:id="28"/>
    <w:p w14:paraId="0710D3ED" w14:textId="77777777" w:rsidR="00C75EF1" w:rsidRPr="00B81C18" w:rsidRDefault="00C75EF1" w:rsidP="007F3DB6">
      <w:pPr>
        <w:jc w:val="both"/>
        <w:rPr>
          <w:rFonts w:ascii="Times New Roman" w:hAnsi="Times New Roman" w:cs="Times New Roman"/>
        </w:rPr>
      </w:pPr>
    </w:p>
    <w:p w14:paraId="2B9ECD31" w14:textId="5E9622B1" w:rsidR="00085265" w:rsidRDefault="00DE0759" w:rsidP="00085265">
      <w:pPr>
        <w:jc w:val="both"/>
        <w:rPr>
          <w:rFonts w:ascii="Times New Roman" w:hAnsi="Times New Roman" w:cs="Times New Roman"/>
        </w:rPr>
      </w:pPr>
      <w:r>
        <w:rPr>
          <w:rFonts w:ascii="Times New Roman" w:hAnsi="Times New Roman" w:cs="Times New Roman"/>
        </w:rPr>
        <w:t xml:space="preserve">Елиминисањем 4 предиктора добили смо </w:t>
      </w:r>
      <w:r w:rsidR="00564EBF">
        <w:rPr>
          <w:rFonts w:ascii="Times New Roman" w:hAnsi="Times New Roman" w:cs="Times New Roman"/>
        </w:rPr>
        <w:t>нови модел са 7 независних варијабли и</w:t>
      </w:r>
      <w:r w:rsidR="00420F3E">
        <w:rPr>
          <w:rFonts w:ascii="Times New Roman" w:hAnsi="Times New Roman" w:cs="Times New Roman"/>
          <w:lang w:val="sr-Cyrl-RS"/>
        </w:rPr>
        <w:t xml:space="preserve"> нешто ,,лошији“</w:t>
      </w:r>
      <w:r w:rsidR="0017673D">
        <w:rPr>
          <w:rFonts w:ascii="Times New Roman" w:hAnsi="Times New Roman" w:cs="Times New Roman"/>
        </w:rPr>
        <w:t xml:space="preserve"> </w:t>
      </w:r>
      <w:r>
        <w:rPr>
          <w:rFonts w:ascii="Times New Roman" w:hAnsi="Times New Roman" w:cs="Times New Roman"/>
        </w:rPr>
        <w:t>резултат</w:t>
      </w:r>
      <w:r w:rsidR="00B23EF3">
        <w:rPr>
          <w:rFonts w:ascii="Times New Roman" w:hAnsi="Times New Roman" w:cs="Times New Roman"/>
        </w:rPr>
        <w:t xml:space="preserve"> објашњавања варијабилитета наше зависне променљиве регресионим моделом</w:t>
      </w:r>
      <w:r>
        <w:rPr>
          <w:rFonts w:ascii="Times New Roman" w:hAnsi="Times New Roman" w:cs="Times New Roman"/>
        </w:rPr>
        <w:t xml:space="preserve"> у поређењу са претходним – коефицијент дете</w:t>
      </w:r>
      <w:r w:rsidR="00D65B88">
        <w:rPr>
          <w:rFonts w:ascii="Times New Roman" w:hAnsi="Times New Roman" w:cs="Times New Roman"/>
        </w:rPr>
        <w:t>р</w:t>
      </w:r>
      <w:r>
        <w:rPr>
          <w:rFonts w:ascii="Times New Roman" w:hAnsi="Times New Roman" w:cs="Times New Roman"/>
        </w:rPr>
        <w:t>минације (R</w:t>
      </w:r>
      <w:r>
        <w:rPr>
          <w:rFonts w:ascii="Times New Roman" w:hAnsi="Times New Roman" w:cs="Times New Roman"/>
          <w:vertAlign w:val="superscript"/>
        </w:rPr>
        <w:t>2</w:t>
      </w:r>
      <w:r>
        <w:rPr>
          <w:rFonts w:ascii="Times New Roman" w:hAnsi="Times New Roman" w:cs="Times New Roman"/>
        </w:rPr>
        <w:t xml:space="preserve">) износи 53,5% (са свих 11 предиктора износи </w:t>
      </w:r>
      <w:r w:rsidR="00564EBF">
        <w:rPr>
          <w:rFonts w:ascii="Times New Roman" w:hAnsi="Times New Roman" w:cs="Times New Roman"/>
        </w:rPr>
        <w:t>54,7%). Међутим, ни овај модел не можемо у потпуности прихватити због следећих недостатака</w:t>
      </w:r>
      <w:r w:rsidR="0031133C">
        <w:rPr>
          <w:rFonts w:ascii="Times New Roman" w:hAnsi="Times New Roman" w:cs="Times New Roman"/>
        </w:rPr>
        <w:t xml:space="preserve">. </w:t>
      </w:r>
      <w:r w:rsidR="00085265" w:rsidRPr="00125A4D">
        <w:rPr>
          <w:rFonts w:ascii="Times New Roman" w:hAnsi="Times New Roman" w:cs="Times New Roman"/>
        </w:rPr>
        <w:t xml:space="preserve">Из спроведене регресионе анализе у табели са коефицијентима може се уочити да нема довољно доказа да су сви предиктори значајно повезани са зависном варијаблом, односно не може се одбацити могућност да су све везе резултат случајности. </w:t>
      </w:r>
      <w:r w:rsidR="00210CBE" w:rsidRPr="00210CBE">
        <w:rPr>
          <w:rFonts w:ascii="Times New Roman" w:hAnsi="Times New Roman" w:cs="Times New Roman"/>
        </w:rPr>
        <w:t>Значајаност коефицијента beta код предиктора се односи на статистичку вероватноћу да је уочена веза између предиктора и зависне варијабле у моделу линеарне регресије резултат случајности. Мала p вредност (најчешће се користи ниво значајности од 0,05) указује да је мало вероватно да је добијена вредност beta коефицијента случајна и да не постоји стварна веза између предиктора и зависне варијабле, односно да је добијени резултат статистички значајан</w:t>
      </w:r>
      <w:r w:rsidR="00210CBE">
        <w:rPr>
          <w:rFonts w:ascii="Times New Roman" w:hAnsi="Times New Roman" w:cs="Times New Roman"/>
          <w:lang w:val="sr-Cyrl-RS"/>
        </w:rPr>
        <w:t xml:space="preserve">. </w:t>
      </w:r>
      <w:r w:rsidR="00085265" w:rsidRPr="00125A4D">
        <w:rPr>
          <w:rFonts w:ascii="Times New Roman" w:hAnsi="Times New Roman" w:cs="Times New Roman"/>
        </w:rPr>
        <w:t>С тим у вези, на основу анализе представљене у Табели 2 може се закључити</w:t>
      </w:r>
      <w:r w:rsidR="00085265" w:rsidRPr="00085265">
        <w:rPr>
          <w:rFonts w:ascii="Times New Roman" w:hAnsi="Times New Roman" w:cs="Times New Roman"/>
        </w:rPr>
        <w:t xml:space="preserve"> да предиктори</w:t>
      </w:r>
      <w:r w:rsidR="00085265">
        <w:rPr>
          <w:rFonts w:ascii="Times New Roman" w:hAnsi="Times New Roman" w:cs="Times New Roman"/>
        </w:rPr>
        <w:t xml:space="preserve"> NEE и BRDCY</w:t>
      </w:r>
      <w:r w:rsidR="00085265" w:rsidRPr="00085265">
        <w:rPr>
          <w:rFonts w:ascii="Times New Roman" w:hAnsi="Times New Roman" w:cs="Times New Roman"/>
        </w:rPr>
        <w:t xml:space="preserve"> не доприносе статистички значајно предвиђању зависне променљиве у датом моделу, будући да су p вредности веће од 0,05</w:t>
      </w:r>
      <w:r w:rsidR="00085265">
        <w:rPr>
          <w:rFonts w:ascii="Times New Roman" w:hAnsi="Times New Roman" w:cs="Times New Roman"/>
        </w:rPr>
        <w:t xml:space="preserve"> (0,064 и 0,432)</w:t>
      </w:r>
      <w:r w:rsidR="00085265" w:rsidRPr="00085265">
        <w:rPr>
          <w:rFonts w:ascii="Times New Roman" w:hAnsi="Times New Roman" w:cs="Times New Roman"/>
        </w:rPr>
        <w:t xml:space="preserve">. </w:t>
      </w:r>
      <w:r w:rsidR="00085265">
        <w:rPr>
          <w:rFonts w:ascii="Times New Roman" w:hAnsi="Times New Roman" w:cs="Times New Roman"/>
        </w:rPr>
        <w:t xml:space="preserve">Значајно висок ниво p вредности предиктора BRDCY се </w:t>
      </w:r>
      <w:r w:rsidR="00085265">
        <w:rPr>
          <w:rFonts w:ascii="Times New Roman" w:hAnsi="Times New Roman" w:cs="Times New Roman"/>
        </w:rPr>
        <w:lastRenderedPageBreak/>
        <w:t xml:space="preserve">може објаснити чињеницом коју смо у првом делу навели, а то је да је </w:t>
      </w:r>
      <w:r w:rsidR="00085265" w:rsidRPr="00085265">
        <w:rPr>
          <w:rFonts w:ascii="Times New Roman" w:hAnsi="Times New Roman" w:cs="Times New Roman"/>
        </w:rPr>
        <w:t>Bridgestone</w:t>
      </w:r>
      <w:r w:rsidR="00085265">
        <w:rPr>
          <w:rFonts w:ascii="Times New Roman" w:hAnsi="Times New Roman" w:cs="Times New Roman"/>
        </w:rPr>
        <w:t xml:space="preserve"> један од најбитнијих пословних партнера Caterpiller-а</w:t>
      </w:r>
      <w:r w:rsidR="008A7C42">
        <w:rPr>
          <w:rFonts w:ascii="Times New Roman" w:hAnsi="Times New Roman" w:cs="Times New Roman"/>
        </w:rPr>
        <w:t>, те ова веза никако није случајна</w:t>
      </w:r>
      <w:r w:rsidR="00856F73">
        <w:rPr>
          <w:rFonts w:ascii="Times New Roman" w:hAnsi="Times New Roman" w:cs="Times New Roman"/>
        </w:rPr>
        <w:t>, већ доноси различите предности обема компанијама, укључујући стабилност ланаца снавдевања, приступ квалитетним производима и технологији, и слично</w:t>
      </w:r>
      <w:r w:rsidR="00BD4382">
        <w:rPr>
          <w:rFonts w:ascii="Times New Roman" w:hAnsi="Times New Roman" w:cs="Times New Roman"/>
        </w:rPr>
        <w:t>. Ове активности даље доприносе снабдевању производима, што може бити кључни фактор у одржавању стабилности пословања и финансијских перформанси обе компаније, као и у оптимизацији перформанси CAT-ових производа.</w:t>
      </w:r>
      <w:r w:rsidR="00396467">
        <w:rPr>
          <w:rFonts w:ascii="Times New Roman" w:hAnsi="Times New Roman" w:cs="Times New Roman"/>
        </w:rPr>
        <w:t xml:space="preserve"> Сарадња између Caterpillar-а и Bridgestone-а може бити кључни фактор у анализи перформанси њихових акција, а висока p вредност предиктора може бити одраз ове важне пословне везе.</w:t>
      </w:r>
      <w:r w:rsidR="00BD4382">
        <w:rPr>
          <w:rFonts w:ascii="Times New Roman" w:hAnsi="Times New Roman" w:cs="Times New Roman"/>
        </w:rPr>
        <w:t xml:space="preserve"> </w:t>
      </w:r>
      <w:bookmarkStart w:id="29" w:name="_Hlk161340481"/>
      <w:r w:rsidR="00E758B8" w:rsidRPr="00E758B8">
        <w:rPr>
          <w:rFonts w:ascii="Times New Roman" w:hAnsi="Times New Roman" w:cs="Times New Roman"/>
        </w:rPr>
        <w:t xml:space="preserve">С друге стране, неки од могућих разлога због којих електрична енергија није показала значајан утицај на кретање приноса CAT акција јесте што је то релативно доступна сировина, и њена цена може бити волатилна, али релативно има мањи утицај од утицаја неких других сировина (попут бакра, челика), </w:t>
      </w:r>
      <w:r w:rsidR="00E82913">
        <w:rPr>
          <w:rFonts w:ascii="Times New Roman" w:hAnsi="Times New Roman" w:cs="Times New Roman"/>
        </w:rPr>
        <w:t xml:space="preserve">као и </w:t>
      </w:r>
      <w:r w:rsidR="00E758B8" w:rsidRPr="00E758B8">
        <w:rPr>
          <w:rFonts w:ascii="Times New Roman" w:hAnsi="Times New Roman" w:cs="Times New Roman"/>
        </w:rPr>
        <w:t>промена у индустријским трендовима. Такође, Caterpillar константно ради на побољшању ефикасности своје опреме, што последично може утицати на смањење утицаја цене електричне енергије на приносе компаније. Не мање битна чињеница је дужина временског периода који је анализиран. Могуће је да електрична енергија има утицај на приносе CAT-ових акција, али тај утицај, можда, није евидентан у оквиру анализираног временског периода (добијена p вредност је нешто мало изнад прага</w:t>
      </w:r>
      <w:r w:rsidR="001E4F7E">
        <w:rPr>
          <w:rFonts w:ascii="Times New Roman" w:hAnsi="Times New Roman" w:cs="Times New Roman"/>
          <w:lang w:val="sr-Cyrl-RS"/>
        </w:rPr>
        <w:t xml:space="preserve"> од 0,05</w:t>
      </w:r>
      <w:r w:rsidR="00E758B8" w:rsidRPr="00E758B8">
        <w:rPr>
          <w:rFonts w:ascii="Times New Roman" w:hAnsi="Times New Roman" w:cs="Times New Roman"/>
        </w:rPr>
        <w:t>).</w:t>
      </w:r>
      <w:r w:rsidR="00E758B8">
        <w:rPr>
          <w:rFonts w:ascii="Times New Roman" w:hAnsi="Times New Roman" w:cs="Times New Roman"/>
        </w:rPr>
        <w:t xml:space="preserve"> </w:t>
      </w:r>
      <w:r w:rsidR="0035496A">
        <w:rPr>
          <w:rFonts w:ascii="Times New Roman" w:hAnsi="Times New Roman" w:cs="Times New Roman"/>
        </w:rPr>
        <w:t>Према томе, одбацуј</w:t>
      </w:r>
      <w:r w:rsidR="00D05C72">
        <w:rPr>
          <w:rFonts w:ascii="Times New Roman" w:hAnsi="Times New Roman" w:cs="Times New Roman"/>
        </w:rPr>
        <w:t>у се</w:t>
      </w:r>
      <w:r w:rsidR="0035496A">
        <w:rPr>
          <w:rFonts w:ascii="Times New Roman" w:hAnsi="Times New Roman" w:cs="Times New Roman"/>
        </w:rPr>
        <w:t xml:space="preserve"> </w:t>
      </w:r>
      <w:r w:rsidR="00D05C72">
        <w:rPr>
          <w:rFonts w:ascii="Times New Roman" w:hAnsi="Times New Roman" w:cs="Times New Roman"/>
        </w:rPr>
        <w:t>под</w:t>
      </w:r>
      <w:r w:rsidR="0035496A">
        <w:rPr>
          <w:rFonts w:ascii="Times New Roman" w:hAnsi="Times New Roman" w:cs="Times New Roman"/>
        </w:rPr>
        <w:t xml:space="preserve">хипотезе </w:t>
      </w:r>
      <w:r w:rsidR="00AA7C10">
        <w:rPr>
          <w:rFonts w:ascii="Times New Roman" w:hAnsi="Times New Roman" w:cs="Times New Roman"/>
          <w:lang w:val="sr-Cyrl-RS"/>
        </w:rPr>
        <w:t xml:space="preserve">Х2в и Х2д </w:t>
      </w:r>
      <w:r w:rsidR="00D05C72">
        <w:rPr>
          <w:rFonts w:ascii="Times New Roman" w:hAnsi="Times New Roman" w:cs="Times New Roman"/>
        </w:rPr>
        <w:t xml:space="preserve">изведене из Х2 </w:t>
      </w:r>
      <w:r w:rsidR="0035496A">
        <w:rPr>
          <w:rFonts w:ascii="Times New Roman" w:hAnsi="Times New Roman" w:cs="Times New Roman"/>
        </w:rPr>
        <w:t>да к</w:t>
      </w:r>
      <w:r w:rsidR="0035496A" w:rsidRPr="0035496A">
        <w:rPr>
          <w:rFonts w:ascii="Times New Roman" w:hAnsi="Times New Roman" w:cs="Times New Roman"/>
        </w:rPr>
        <w:t>ретање приноса</w:t>
      </w:r>
      <w:r w:rsidR="00AA7C10">
        <w:rPr>
          <w:rFonts w:ascii="Times New Roman" w:hAnsi="Times New Roman" w:cs="Times New Roman"/>
          <w:lang w:val="sr-Cyrl-RS"/>
        </w:rPr>
        <w:t xml:space="preserve"> гуме и </w:t>
      </w:r>
      <w:r w:rsidR="0035496A" w:rsidRPr="0035496A">
        <w:rPr>
          <w:rFonts w:ascii="Times New Roman" w:hAnsi="Times New Roman" w:cs="Times New Roman"/>
        </w:rPr>
        <w:t xml:space="preserve"> </w:t>
      </w:r>
      <w:r w:rsidR="0035496A">
        <w:rPr>
          <w:rFonts w:ascii="Times New Roman" w:hAnsi="Times New Roman" w:cs="Times New Roman"/>
        </w:rPr>
        <w:t>електричне енергије као сировина које Caterpiller користи</w:t>
      </w:r>
      <w:r w:rsidR="0035496A" w:rsidRPr="0035496A">
        <w:rPr>
          <w:rFonts w:ascii="Times New Roman" w:hAnsi="Times New Roman" w:cs="Times New Roman"/>
        </w:rPr>
        <w:t xml:space="preserve"> има</w:t>
      </w:r>
      <w:r w:rsidR="0035496A">
        <w:rPr>
          <w:rFonts w:ascii="Times New Roman" w:hAnsi="Times New Roman" w:cs="Times New Roman"/>
        </w:rPr>
        <w:t>ју</w:t>
      </w:r>
      <w:r w:rsidR="0035496A" w:rsidRPr="0035496A">
        <w:rPr>
          <w:rFonts w:ascii="Times New Roman" w:hAnsi="Times New Roman" w:cs="Times New Roman"/>
        </w:rPr>
        <w:t xml:space="preserve"> статистички значајан утицај на кретање приноса CAT акција.</w:t>
      </w:r>
      <w:bookmarkEnd w:id="29"/>
    </w:p>
    <w:p w14:paraId="06329D15" w14:textId="77777777" w:rsidR="007D3142" w:rsidRPr="00125A4D" w:rsidRDefault="007D3142" w:rsidP="00085265">
      <w:pPr>
        <w:jc w:val="both"/>
        <w:rPr>
          <w:rFonts w:ascii="Times New Roman" w:hAnsi="Times New Roman" w:cs="Times New Roman"/>
        </w:rPr>
      </w:pPr>
    </w:p>
    <w:p w14:paraId="5EC0DEA8" w14:textId="77777777" w:rsidR="004A444F" w:rsidRPr="004A444F" w:rsidRDefault="004A444F" w:rsidP="00D31D12">
      <w:pPr>
        <w:tabs>
          <w:tab w:val="left" w:pos="1410"/>
        </w:tabs>
        <w:jc w:val="both"/>
        <w:rPr>
          <w:rFonts w:ascii="Times New Roman" w:hAnsi="Times New Roman" w:cs="Times New Roman"/>
        </w:rPr>
      </w:pPr>
      <w:bookmarkStart w:id="30" w:name="_Hlk161337398"/>
      <w:r w:rsidRPr="00D31D12">
        <w:rPr>
          <w:rFonts w:ascii="Times New Roman" w:hAnsi="Times New Roman" w:cs="Times New Roman"/>
        </w:rPr>
        <w:t>Табела 2</w:t>
      </w:r>
      <w:r w:rsidR="002C1237" w:rsidRPr="00D31D12">
        <w:rPr>
          <w:rFonts w:ascii="Times New Roman" w:hAnsi="Times New Roman" w:cs="Times New Roman"/>
        </w:rPr>
        <w:t>. Beta коефицијенти</w:t>
      </w:r>
      <w:r w:rsidR="00173F50">
        <w:rPr>
          <w:rFonts w:ascii="Times New Roman" w:hAnsi="Times New Roman" w:cs="Times New Roman"/>
        </w:rPr>
        <w:t xml:space="preserve"> 7</w:t>
      </w:r>
      <w:r w:rsidR="002C1237" w:rsidRPr="00D31D12">
        <w:rPr>
          <w:rFonts w:ascii="Times New Roman" w:hAnsi="Times New Roman" w:cs="Times New Roman"/>
        </w:rPr>
        <w:t xml:space="preserve"> предиктора и сигнификантност </w:t>
      </w:r>
    </w:p>
    <w:tbl>
      <w:tblPr>
        <w:tblStyle w:val="TableGridLight1"/>
        <w:tblW w:w="6284" w:type="dxa"/>
        <w:jc w:val="center"/>
        <w:tblLook w:val="0000" w:firstRow="0" w:lastRow="0" w:firstColumn="0" w:lastColumn="0" w:noHBand="0" w:noVBand="0"/>
      </w:tblPr>
      <w:tblGrid>
        <w:gridCol w:w="516"/>
        <w:gridCol w:w="1331"/>
        <w:gridCol w:w="2673"/>
        <w:gridCol w:w="973"/>
        <w:gridCol w:w="791"/>
      </w:tblGrid>
      <w:tr w:rsidR="001405B2" w:rsidRPr="004A444F" w14:paraId="056A811F" w14:textId="77777777" w:rsidTr="006350E7">
        <w:trPr>
          <w:trHeight w:val="603"/>
          <w:jc w:val="center"/>
        </w:trPr>
        <w:tc>
          <w:tcPr>
            <w:tcW w:w="0" w:type="auto"/>
            <w:gridSpan w:val="2"/>
            <w:vMerge w:val="restart"/>
          </w:tcPr>
          <w:bookmarkEnd w:id="30"/>
          <w:p w14:paraId="35B67CB7"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Model</w:t>
            </w:r>
          </w:p>
        </w:tc>
        <w:tc>
          <w:tcPr>
            <w:tcW w:w="0" w:type="auto"/>
          </w:tcPr>
          <w:p w14:paraId="34DB5013" w14:textId="77777777" w:rsidR="001405B2" w:rsidRPr="00571AF6" w:rsidRDefault="001405B2" w:rsidP="00BF432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71AF6">
              <w:rPr>
                <w:rFonts w:ascii="Times New Roman" w:hAnsi="Times New Roman" w:cs="Times New Roman"/>
                <w:color w:val="000000"/>
                <w:sz w:val="18"/>
                <w:szCs w:val="18"/>
              </w:rPr>
              <w:t>Standardized Coefficients</w:t>
            </w:r>
          </w:p>
        </w:tc>
        <w:tc>
          <w:tcPr>
            <w:tcW w:w="0" w:type="auto"/>
            <w:vMerge w:val="restart"/>
          </w:tcPr>
          <w:p w14:paraId="5C9BA957" w14:textId="77777777" w:rsidR="001405B2" w:rsidRPr="00571AF6" w:rsidRDefault="001405B2" w:rsidP="00BF432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71AF6">
              <w:rPr>
                <w:rFonts w:ascii="Times New Roman" w:hAnsi="Times New Roman" w:cs="Times New Roman"/>
                <w:color w:val="000000"/>
                <w:sz w:val="18"/>
                <w:szCs w:val="18"/>
              </w:rPr>
              <w:t>t</w:t>
            </w:r>
          </w:p>
        </w:tc>
        <w:tc>
          <w:tcPr>
            <w:tcW w:w="0" w:type="auto"/>
            <w:vMerge w:val="restart"/>
          </w:tcPr>
          <w:p w14:paraId="5ABC5089" w14:textId="77777777" w:rsidR="001405B2" w:rsidRPr="00571AF6" w:rsidRDefault="001405B2" w:rsidP="00BF432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71AF6">
              <w:rPr>
                <w:rFonts w:ascii="Times New Roman" w:hAnsi="Times New Roman" w:cs="Times New Roman"/>
                <w:color w:val="000000"/>
                <w:sz w:val="18"/>
                <w:szCs w:val="18"/>
              </w:rPr>
              <w:t>Sig.</w:t>
            </w:r>
          </w:p>
        </w:tc>
      </w:tr>
      <w:tr w:rsidR="001405B2" w:rsidRPr="004A444F" w14:paraId="6B0DCC0F" w14:textId="77777777" w:rsidTr="006350E7">
        <w:trPr>
          <w:trHeight w:val="345"/>
          <w:jc w:val="center"/>
        </w:trPr>
        <w:tc>
          <w:tcPr>
            <w:tcW w:w="0" w:type="auto"/>
            <w:gridSpan w:val="2"/>
            <w:vMerge/>
          </w:tcPr>
          <w:p w14:paraId="61E84492"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tcPr>
          <w:p w14:paraId="269B8BBA" w14:textId="77777777" w:rsidR="001405B2" w:rsidRPr="00571AF6" w:rsidRDefault="001405B2" w:rsidP="00BF432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71AF6">
              <w:rPr>
                <w:rFonts w:ascii="Times New Roman" w:hAnsi="Times New Roman" w:cs="Times New Roman"/>
                <w:color w:val="000000"/>
                <w:sz w:val="18"/>
                <w:szCs w:val="18"/>
              </w:rPr>
              <w:t>Beta</w:t>
            </w:r>
          </w:p>
        </w:tc>
        <w:tc>
          <w:tcPr>
            <w:tcW w:w="0" w:type="auto"/>
            <w:vMerge/>
          </w:tcPr>
          <w:p w14:paraId="384C2D9F"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vMerge/>
          </w:tcPr>
          <w:p w14:paraId="5D7EF870"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r>
      <w:tr w:rsidR="001405B2" w:rsidRPr="004A444F" w14:paraId="44D29392" w14:textId="77777777" w:rsidTr="006350E7">
        <w:trPr>
          <w:trHeight w:val="300"/>
          <w:jc w:val="center"/>
        </w:trPr>
        <w:tc>
          <w:tcPr>
            <w:tcW w:w="0" w:type="auto"/>
            <w:vMerge w:val="restart"/>
          </w:tcPr>
          <w:p w14:paraId="0B5A4075"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1</w:t>
            </w:r>
          </w:p>
        </w:tc>
        <w:tc>
          <w:tcPr>
            <w:tcW w:w="0" w:type="auto"/>
          </w:tcPr>
          <w:p w14:paraId="2067764A"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(Constant)</w:t>
            </w:r>
          </w:p>
        </w:tc>
        <w:tc>
          <w:tcPr>
            <w:tcW w:w="0" w:type="auto"/>
          </w:tcPr>
          <w:p w14:paraId="3C31A7AF" w14:textId="77777777" w:rsidR="001405B2" w:rsidRPr="00571AF6" w:rsidRDefault="001405B2" w:rsidP="00BF4325">
            <w:pPr>
              <w:autoSpaceDE w:val="0"/>
              <w:autoSpaceDN w:val="0"/>
              <w:adjustRightInd w:val="0"/>
              <w:rPr>
                <w:rFonts w:ascii="Times New Roman" w:hAnsi="Times New Roman" w:cs="Times New Roman"/>
                <w:sz w:val="24"/>
                <w:szCs w:val="24"/>
              </w:rPr>
            </w:pPr>
          </w:p>
        </w:tc>
        <w:tc>
          <w:tcPr>
            <w:tcW w:w="0" w:type="auto"/>
          </w:tcPr>
          <w:p w14:paraId="57FAC442"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,479</w:t>
            </w:r>
          </w:p>
        </w:tc>
        <w:tc>
          <w:tcPr>
            <w:tcW w:w="0" w:type="auto"/>
          </w:tcPr>
          <w:p w14:paraId="4A47F018"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,632</w:t>
            </w:r>
          </w:p>
        </w:tc>
      </w:tr>
      <w:tr w:rsidR="001405B2" w:rsidRPr="004A444F" w14:paraId="488DF952" w14:textId="77777777" w:rsidTr="006350E7">
        <w:trPr>
          <w:trHeight w:val="345"/>
          <w:jc w:val="center"/>
        </w:trPr>
        <w:tc>
          <w:tcPr>
            <w:tcW w:w="0" w:type="auto"/>
            <w:vMerge/>
          </w:tcPr>
          <w:p w14:paraId="5D74337C" w14:textId="77777777" w:rsidR="001405B2" w:rsidRPr="00571AF6" w:rsidRDefault="001405B2" w:rsidP="00BF4325">
            <w:pPr>
              <w:autoSpaceDE w:val="0"/>
              <w:autoSpaceDN w:val="0"/>
              <w:adjustRightInd w:val="0"/>
              <w:rPr>
                <w:rFonts w:ascii="Times New Roman" w:hAnsi="Times New Roman" w:cs="Times New Roman"/>
                <w:sz w:val="24"/>
                <w:szCs w:val="24"/>
              </w:rPr>
            </w:pPr>
          </w:p>
        </w:tc>
        <w:tc>
          <w:tcPr>
            <w:tcW w:w="0" w:type="auto"/>
          </w:tcPr>
          <w:p w14:paraId="4DE80805"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SPY</w:t>
            </w:r>
          </w:p>
        </w:tc>
        <w:tc>
          <w:tcPr>
            <w:tcW w:w="0" w:type="auto"/>
          </w:tcPr>
          <w:p w14:paraId="598877D7"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,259</w:t>
            </w:r>
          </w:p>
        </w:tc>
        <w:tc>
          <w:tcPr>
            <w:tcW w:w="0" w:type="auto"/>
          </w:tcPr>
          <w:p w14:paraId="636A4CA5"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6,940</w:t>
            </w:r>
          </w:p>
        </w:tc>
        <w:tc>
          <w:tcPr>
            <w:tcW w:w="0" w:type="auto"/>
          </w:tcPr>
          <w:p w14:paraId="000B321C"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,000</w:t>
            </w:r>
          </w:p>
        </w:tc>
      </w:tr>
      <w:tr w:rsidR="001405B2" w:rsidRPr="004A444F" w14:paraId="07D8DE97" w14:textId="77777777" w:rsidTr="006350E7">
        <w:trPr>
          <w:trHeight w:val="345"/>
          <w:jc w:val="center"/>
        </w:trPr>
        <w:tc>
          <w:tcPr>
            <w:tcW w:w="0" w:type="auto"/>
            <w:vMerge/>
          </w:tcPr>
          <w:p w14:paraId="09A28B85"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tcPr>
          <w:p w14:paraId="3BCF2E6E"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PKB</w:t>
            </w:r>
          </w:p>
        </w:tc>
        <w:tc>
          <w:tcPr>
            <w:tcW w:w="0" w:type="auto"/>
          </w:tcPr>
          <w:p w14:paraId="163505E2"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,124</w:t>
            </w:r>
          </w:p>
        </w:tc>
        <w:tc>
          <w:tcPr>
            <w:tcW w:w="0" w:type="auto"/>
          </w:tcPr>
          <w:p w14:paraId="0B2F735D"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3,631</w:t>
            </w:r>
          </w:p>
        </w:tc>
        <w:tc>
          <w:tcPr>
            <w:tcW w:w="0" w:type="auto"/>
          </w:tcPr>
          <w:p w14:paraId="36697C78"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,000</w:t>
            </w:r>
          </w:p>
        </w:tc>
      </w:tr>
      <w:tr w:rsidR="001405B2" w:rsidRPr="004A444F" w14:paraId="74C49615" w14:textId="77777777" w:rsidTr="006350E7">
        <w:trPr>
          <w:trHeight w:val="345"/>
          <w:jc w:val="center"/>
        </w:trPr>
        <w:tc>
          <w:tcPr>
            <w:tcW w:w="0" w:type="auto"/>
            <w:vMerge/>
          </w:tcPr>
          <w:p w14:paraId="25DFF5EA"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tcPr>
          <w:p w14:paraId="1BE9C82F"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NEE</w:t>
            </w:r>
          </w:p>
        </w:tc>
        <w:tc>
          <w:tcPr>
            <w:tcW w:w="0" w:type="auto"/>
          </w:tcPr>
          <w:p w14:paraId="72B1730F"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-,045</w:t>
            </w:r>
          </w:p>
        </w:tc>
        <w:tc>
          <w:tcPr>
            <w:tcW w:w="0" w:type="auto"/>
          </w:tcPr>
          <w:p w14:paraId="1C980B4D"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-1,857</w:t>
            </w:r>
          </w:p>
        </w:tc>
        <w:tc>
          <w:tcPr>
            <w:tcW w:w="0" w:type="auto"/>
          </w:tcPr>
          <w:p w14:paraId="0FF63E66" w14:textId="77777777" w:rsidR="001405B2" w:rsidRPr="00C742B5" w:rsidRDefault="001405B2" w:rsidP="00BF4325">
            <w:pPr>
              <w:autoSpaceDE w:val="0"/>
              <w:autoSpaceDN w:val="0"/>
              <w:adjustRightInd w:val="0"/>
              <w:spacing w:line="320" w:lineRule="atLeast"/>
              <w:ind w:left="60" w:right="60"/>
              <w:jc w:val="right"/>
              <w:rPr>
                <w:rFonts w:ascii="Times New Roman" w:hAnsi="Times New Roman" w:cs="Times New Roman"/>
                <w:b/>
                <w:bCs/>
                <w:color w:val="000000"/>
                <w:sz w:val="18"/>
                <w:szCs w:val="18"/>
              </w:rPr>
            </w:pPr>
            <w:r w:rsidRPr="00C742B5">
              <w:rPr>
                <w:rFonts w:ascii="Times New Roman" w:hAnsi="Times New Roman" w:cs="Times New Roman"/>
                <w:b/>
                <w:bCs/>
                <w:color w:val="000000"/>
                <w:sz w:val="18"/>
                <w:szCs w:val="18"/>
              </w:rPr>
              <w:t>,064</w:t>
            </w:r>
          </w:p>
        </w:tc>
      </w:tr>
      <w:tr w:rsidR="001405B2" w:rsidRPr="004A444F" w14:paraId="7085E714" w14:textId="77777777" w:rsidTr="006350E7">
        <w:trPr>
          <w:trHeight w:val="345"/>
          <w:jc w:val="center"/>
        </w:trPr>
        <w:tc>
          <w:tcPr>
            <w:tcW w:w="0" w:type="auto"/>
            <w:vMerge/>
          </w:tcPr>
          <w:p w14:paraId="34BEAB53"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tcPr>
          <w:p w14:paraId="11BF6732"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SCCO</w:t>
            </w:r>
          </w:p>
        </w:tc>
        <w:tc>
          <w:tcPr>
            <w:tcW w:w="0" w:type="auto"/>
          </w:tcPr>
          <w:p w14:paraId="76E6AD0C"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,205</w:t>
            </w:r>
          </w:p>
        </w:tc>
        <w:tc>
          <w:tcPr>
            <w:tcW w:w="0" w:type="auto"/>
          </w:tcPr>
          <w:p w14:paraId="0A8994EE"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7,173</w:t>
            </w:r>
          </w:p>
        </w:tc>
        <w:tc>
          <w:tcPr>
            <w:tcW w:w="0" w:type="auto"/>
          </w:tcPr>
          <w:p w14:paraId="5B2333C5"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,000</w:t>
            </w:r>
          </w:p>
        </w:tc>
      </w:tr>
      <w:tr w:rsidR="001405B2" w:rsidRPr="004A444F" w14:paraId="627EA129" w14:textId="77777777" w:rsidTr="006350E7">
        <w:trPr>
          <w:trHeight w:val="300"/>
          <w:jc w:val="center"/>
        </w:trPr>
        <w:tc>
          <w:tcPr>
            <w:tcW w:w="0" w:type="auto"/>
            <w:vMerge/>
          </w:tcPr>
          <w:p w14:paraId="5BFED44A"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tcPr>
          <w:p w14:paraId="5A22F59F"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STLD</w:t>
            </w:r>
          </w:p>
        </w:tc>
        <w:tc>
          <w:tcPr>
            <w:tcW w:w="0" w:type="auto"/>
          </w:tcPr>
          <w:p w14:paraId="0A35AD55"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,195</w:t>
            </w:r>
          </w:p>
        </w:tc>
        <w:tc>
          <w:tcPr>
            <w:tcW w:w="0" w:type="auto"/>
          </w:tcPr>
          <w:p w14:paraId="48473DD1"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6,865</w:t>
            </w:r>
          </w:p>
        </w:tc>
        <w:tc>
          <w:tcPr>
            <w:tcW w:w="0" w:type="auto"/>
          </w:tcPr>
          <w:p w14:paraId="701B4DA5"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,000</w:t>
            </w:r>
          </w:p>
        </w:tc>
      </w:tr>
      <w:tr w:rsidR="001405B2" w:rsidRPr="00C742B5" w14:paraId="2EEBB4B2" w14:textId="77777777" w:rsidTr="006350E7">
        <w:trPr>
          <w:trHeight w:val="300"/>
          <w:jc w:val="center"/>
        </w:trPr>
        <w:tc>
          <w:tcPr>
            <w:tcW w:w="0" w:type="auto"/>
            <w:vMerge/>
          </w:tcPr>
          <w:p w14:paraId="2EF9833A"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tcPr>
          <w:p w14:paraId="352C200A"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BRDCY</w:t>
            </w:r>
          </w:p>
        </w:tc>
        <w:tc>
          <w:tcPr>
            <w:tcW w:w="0" w:type="auto"/>
          </w:tcPr>
          <w:p w14:paraId="78D5DC8C"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,018</w:t>
            </w:r>
          </w:p>
        </w:tc>
        <w:tc>
          <w:tcPr>
            <w:tcW w:w="0" w:type="auto"/>
          </w:tcPr>
          <w:p w14:paraId="3F7ADA8D"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,787</w:t>
            </w:r>
          </w:p>
        </w:tc>
        <w:tc>
          <w:tcPr>
            <w:tcW w:w="0" w:type="auto"/>
          </w:tcPr>
          <w:p w14:paraId="671F1814" w14:textId="77777777" w:rsidR="001405B2" w:rsidRPr="00C742B5" w:rsidRDefault="001405B2" w:rsidP="00BF4325">
            <w:pPr>
              <w:autoSpaceDE w:val="0"/>
              <w:autoSpaceDN w:val="0"/>
              <w:adjustRightInd w:val="0"/>
              <w:spacing w:line="320" w:lineRule="atLeast"/>
              <w:ind w:left="60" w:right="60"/>
              <w:jc w:val="right"/>
              <w:rPr>
                <w:rFonts w:ascii="Times New Roman" w:hAnsi="Times New Roman" w:cs="Times New Roman"/>
                <w:b/>
                <w:bCs/>
                <w:color w:val="000000"/>
                <w:sz w:val="18"/>
                <w:szCs w:val="18"/>
              </w:rPr>
            </w:pPr>
            <w:r w:rsidRPr="00C742B5">
              <w:rPr>
                <w:rFonts w:ascii="Times New Roman" w:hAnsi="Times New Roman" w:cs="Times New Roman"/>
                <w:b/>
                <w:bCs/>
                <w:color w:val="000000"/>
                <w:sz w:val="18"/>
                <w:szCs w:val="18"/>
              </w:rPr>
              <w:t>,432</w:t>
            </w:r>
          </w:p>
        </w:tc>
      </w:tr>
      <w:tr w:rsidR="001405B2" w:rsidRPr="004A444F" w14:paraId="5B881724" w14:textId="77777777" w:rsidTr="006350E7">
        <w:trPr>
          <w:trHeight w:val="300"/>
          <w:jc w:val="center"/>
        </w:trPr>
        <w:tc>
          <w:tcPr>
            <w:tcW w:w="0" w:type="auto"/>
            <w:vMerge/>
          </w:tcPr>
          <w:p w14:paraId="237FED0D"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tcPr>
          <w:p w14:paraId="7DB5E422"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AA</w:t>
            </w:r>
          </w:p>
        </w:tc>
        <w:tc>
          <w:tcPr>
            <w:tcW w:w="0" w:type="auto"/>
          </w:tcPr>
          <w:p w14:paraId="45FDF971"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,104</w:t>
            </w:r>
          </w:p>
        </w:tc>
        <w:tc>
          <w:tcPr>
            <w:tcW w:w="0" w:type="auto"/>
          </w:tcPr>
          <w:p w14:paraId="3B573F17"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3,667</w:t>
            </w:r>
          </w:p>
        </w:tc>
        <w:tc>
          <w:tcPr>
            <w:tcW w:w="0" w:type="auto"/>
          </w:tcPr>
          <w:p w14:paraId="1D1C236F"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,000</w:t>
            </w:r>
          </w:p>
        </w:tc>
      </w:tr>
    </w:tbl>
    <w:p w14:paraId="33382F24" w14:textId="61A2BFCF" w:rsidR="00C75EF1" w:rsidRDefault="00C75EF1" w:rsidP="00571AF6">
      <w:pPr>
        <w:autoSpaceDE w:val="0"/>
        <w:autoSpaceDN w:val="0"/>
        <w:adjustRightInd w:val="0"/>
        <w:spacing w:after="0" w:line="400" w:lineRule="atLeast"/>
        <w:rPr>
          <w:rFonts w:ascii="Times New Roman" w:hAnsi="Times New Roman" w:cs="Times New Roman"/>
          <w:sz w:val="24"/>
          <w:szCs w:val="24"/>
        </w:rPr>
      </w:pPr>
      <w:r w:rsidRPr="00C75EF1">
        <w:rPr>
          <w:rFonts w:ascii="Times New Roman" w:hAnsi="Times New Roman" w:cs="Times New Roman"/>
        </w:rPr>
        <w:t>Извор: Калкулација аутора на основу SPSS-а</w:t>
      </w:r>
    </w:p>
    <w:p w14:paraId="3BA55AFD" w14:textId="77777777" w:rsidR="00DD6A27" w:rsidRPr="00A33A21" w:rsidRDefault="00DD6A27" w:rsidP="00571AF6">
      <w:pPr>
        <w:autoSpaceDE w:val="0"/>
        <w:autoSpaceDN w:val="0"/>
        <w:adjustRightInd w:val="0"/>
        <w:spacing w:after="0" w:line="400" w:lineRule="atLeast"/>
        <w:rPr>
          <w:rFonts w:ascii="Times New Roman" w:hAnsi="Times New Roman" w:cs="Times New Roman"/>
          <w:sz w:val="24"/>
          <w:szCs w:val="24"/>
        </w:rPr>
      </w:pPr>
    </w:p>
    <w:p w14:paraId="0D7547F5" w14:textId="30293BB4" w:rsidR="0001379F" w:rsidRDefault="000D5E42" w:rsidP="009574B4">
      <w:pPr>
        <w:tabs>
          <w:tab w:val="left" w:pos="1410"/>
        </w:tabs>
        <w:jc w:val="both"/>
        <w:rPr>
          <w:rFonts w:ascii="Times New Roman" w:hAnsi="Times New Roman" w:cs="Times New Roman"/>
        </w:rPr>
      </w:pPr>
      <w:r>
        <w:rPr>
          <w:rFonts w:ascii="Times New Roman" w:hAnsi="Times New Roman" w:cs="Times New Roman"/>
        </w:rPr>
        <w:t xml:space="preserve">Пажљивим одабиром предиктора добили смо модел </w:t>
      </w:r>
      <w:r w:rsidR="00DD60E1">
        <w:rPr>
          <w:rFonts w:ascii="Times New Roman" w:hAnsi="Times New Roman" w:cs="Times New Roman"/>
        </w:rPr>
        <w:t xml:space="preserve">са 5 независних варијабли </w:t>
      </w:r>
      <w:r>
        <w:rPr>
          <w:rFonts w:ascii="Times New Roman" w:hAnsi="Times New Roman" w:cs="Times New Roman"/>
        </w:rPr>
        <w:t>који објашњава 53,4% варијабилности CAT акција.</w:t>
      </w:r>
      <w:r w:rsidR="00DD60E1">
        <w:rPr>
          <w:rFonts w:ascii="Times New Roman" w:hAnsi="Times New Roman" w:cs="Times New Roman"/>
        </w:rPr>
        <w:t xml:space="preserve"> Искључивањем још два предиктора</w:t>
      </w:r>
      <w:r w:rsidR="00A04F44">
        <w:rPr>
          <w:rFonts w:ascii="Times New Roman" w:hAnsi="Times New Roman" w:cs="Times New Roman"/>
        </w:rPr>
        <w:t xml:space="preserve"> </w:t>
      </w:r>
      <w:r w:rsidR="009A1DFD">
        <w:rPr>
          <w:rFonts w:ascii="Times New Roman" w:hAnsi="Times New Roman" w:cs="Times New Roman"/>
        </w:rPr>
        <w:t>(кретање приноса електричне енергије – NEE и гуме – BRDCY)</w:t>
      </w:r>
      <w:r w:rsidR="00DD60E1">
        <w:rPr>
          <w:rFonts w:ascii="Times New Roman" w:hAnsi="Times New Roman" w:cs="Times New Roman"/>
        </w:rPr>
        <w:t xml:space="preserve"> примећујемо да је коефицијент детеминације готово остао непромењен</w:t>
      </w:r>
      <w:r w:rsidR="007256C6">
        <w:rPr>
          <w:rFonts w:ascii="Times New Roman" w:hAnsi="Times New Roman" w:cs="Times New Roman"/>
        </w:rPr>
        <w:t xml:space="preserve"> – смањио се за 0,01%</w:t>
      </w:r>
      <w:r w:rsidR="00DD60E1">
        <w:rPr>
          <w:rFonts w:ascii="Times New Roman" w:hAnsi="Times New Roman" w:cs="Times New Roman"/>
        </w:rPr>
        <w:t>.</w:t>
      </w:r>
      <w:r w:rsidR="009574B4">
        <w:rPr>
          <w:rFonts w:ascii="Times New Roman" w:hAnsi="Times New Roman" w:cs="Times New Roman"/>
        </w:rPr>
        <w:t xml:space="preserve"> Приликом регресионе анализе важно је проверити да ли су испуњене одређене претпоставке, а то су степен мултиколинеарности између променљивих и аутокорелисаност. </w:t>
      </w:r>
      <w:r w:rsidR="009E1B41">
        <w:rPr>
          <w:rFonts w:ascii="Times New Roman" w:hAnsi="Times New Roman" w:cs="Times New Roman"/>
        </w:rPr>
        <w:t>Поред Пирсоновог коефицијента корелације који је осетљив на outliers-е, м</w:t>
      </w:r>
      <w:r w:rsidR="00DF458B">
        <w:rPr>
          <w:rFonts w:ascii="Times New Roman" w:hAnsi="Times New Roman" w:cs="Times New Roman"/>
        </w:rPr>
        <w:t>ултиколинеарност, односно присуство јаке корелације између предиктора,</w:t>
      </w:r>
      <w:r w:rsidR="009E1B41">
        <w:rPr>
          <w:rFonts w:ascii="Times New Roman" w:hAnsi="Times New Roman" w:cs="Times New Roman"/>
        </w:rPr>
        <w:t xml:space="preserve"> </w:t>
      </w:r>
      <w:r w:rsidR="00DF458B">
        <w:rPr>
          <w:rFonts w:ascii="Times New Roman" w:hAnsi="Times New Roman" w:cs="Times New Roman"/>
        </w:rPr>
        <w:t>може</w:t>
      </w:r>
      <w:r w:rsidR="007D3142">
        <w:rPr>
          <w:rFonts w:ascii="Times New Roman" w:hAnsi="Times New Roman" w:cs="Times New Roman"/>
        </w:rPr>
        <w:t xml:space="preserve"> се</w:t>
      </w:r>
      <w:r w:rsidR="00DF458B">
        <w:rPr>
          <w:rFonts w:ascii="Times New Roman" w:hAnsi="Times New Roman" w:cs="Times New Roman"/>
        </w:rPr>
        <w:t xml:space="preserve"> мерити на основу коефицијента VIF </w:t>
      </w:r>
      <w:r w:rsidR="003A5E2B">
        <w:rPr>
          <w:rFonts w:ascii="Times New Roman" w:hAnsi="Times New Roman" w:cs="Times New Roman"/>
        </w:rPr>
        <w:t>(</w:t>
      </w:r>
      <w:r w:rsidR="003A5E2B" w:rsidRPr="003A5E2B">
        <w:rPr>
          <w:rFonts w:ascii="Times New Roman" w:hAnsi="Times New Roman" w:cs="Times New Roman"/>
        </w:rPr>
        <w:t>Variance Inflation Factor</w:t>
      </w:r>
      <w:r w:rsidR="003A5E2B">
        <w:rPr>
          <w:rFonts w:ascii="Times New Roman" w:hAnsi="Times New Roman" w:cs="Times New Roman"/>
        </w:rPr>
        <w:t>)</w:t>
      </w:r>
      <w:r w:rsidR="009E1B41">
        <w:rPr>
          <w:rFonts w:ascii="Times New Roman" w:hAnsi="Times New Roman" w:cs="Times New Roman"/>
        </w:rPr>
        <w:t>. У</w:t>
      </w:r>
      <w:r w:rsidR="003A5E2B">
        <w:rPr>
          <w:rFonts w:ascii="Times New Roman" w:hAnsi="Times New Roman" w:cs="Times New Roman"/>
        </w:rPr>
        <w:t xml:space="preserve"> овом моделу </w:t>
      </w:r>
      <w:r w:rsidR="00856F73">
        <w:rPr>
          <w:rFonts w:ascii="Times New Roman" w:hAnsi="Times New Roman" w:cs="Times New Roman"/>
        </w:rPr>
        <w:t xml:space="preserve">мултиколинеарност </w:t>
      </w:r>
      <w:r w:rsidR="003A5E2B">
        <w:rPr>
          <w:rFonts w:ascii="Times New Roman" w:hAnsi="Times New Roman" w:cs="Times New Roman"/>
        </w:rPr>
        <w:t>није присутна</w:t>
      </w:r>
      <w:r w:rsidR="00856F73">
        <w:rPr>
          <w:rFonts w:ascii="Times New Roman" w:hAnsi="Times New Roman" w:cs="Times New Roman"/>
        </w:rPr>
        <w:t>,</w:t>
      </w:r>
      <w:r w:rsidR="003A5E2B">
        <w:rPr>
          <w:rFonts w:ascii="Times New Roman" w:hAnsi="Times New Roman" w:cs="Times New Roman"/>
        </w:rPr>
        <w:t xml:space="preserve"> јер је коефицијент VIF за све посматране независне променљеиве мањи од 5</w:t>
      </w:r>
      <w:r w:rsidR="007D3142">
        <w:rPr>
          <w:rFonts w:ascii="Times New Roman" w:hAnsi="Times New Roman" w:cs="Times New Roman"/>
        </w:rPr>
        <w:t>, што је представљено у Табели 3</w:t>
      </w:r>
      <w:r w:rsidR="003A5E2B">
        <w:rPr>
          <w:rFonts w:ascii="Times New Roman" w:hAnsi="Times New Roman" w:cs="Times New Roman"/>
        </w:rPr>
        <w:t xml:space="preserve"> (</w:t>
      </w:r>
      <w:r w:rsidR="003A5E2B" w:rsidRPr="003A5E2B">
        <w:rPr>
          <w:rFonts w:ascii="Times New Roman" w:hAnsi="Times New Roman" w:cs="Times New Roman"/>
        </w:rPr>
        <w:t>Akinwande, Dikko &amp; Samson, 2015)</w:t>
      </w:r>
      <w:r w:rsidR="003A5E2B">
        <w:rPr>
          <w:rFonts w:ascii="Times New Roman" w:hAnsi="Times New Roman" w:cs="Times New Roman"/>
        </w:rPr>
        <w:t>.</w:t>
      </w:r>
      <w:r w:rsidR="003A5E2B" w:rsidRPr="003A5E2B">
        <w:rPr>
          <w:rFonts w:ascii="Times New Roman" w:hAnsi="Times New Roman" w:cs="Times New Roman"/>
        </w:rPr>
        <w:t xml:space="preserve"> </w:t>
      </w:r>
      <w:r w:rsidR="009574B4">
        <w:rPr>
          <w:rFonts w:ascii="Times New Roman" w:hAnsi="Times New Roman" w:cs="Times New Roman"/>
        </w:rPr>
        <w:t xml:space="preserve">С </w:t>
      </w:r>
      <w:r w:rsidR="009574B4">
        <w:rPr>
          <w:rFonts w:ascii="Times New Roman" w:hAnsi="Times New Roman" w:cs="Times New Roman"/>
        </w:rPr>
        <w:lastRenderedPageBreak/>
        <w:t xml:space="preserve">друге стране, </w:t>
      </w:r>
      <w:r w:rsidR="00E76EEE">
        <w:rPr>
          <w:rFonts w:ascii="Times New Roman" w:hAnsi="Times New Roman" w:cs="Times New Roman"/>
        </w:rPr>
        <w:t xml:space="preserve">присуство </w:t>
      </w:r>
      <w:r w:rsidR="009574B4">
        <w:rPr>
          <w:rFonts w:ascii="Times New Roman" w:hAnsi="Times New Roman" w:cs="Times New Roman"/>
        </w:rPr>
        <w:t>аутокор</w:t>
      </w:r>
      <w:r w:rsidR="00E76EEE">
        <w:rPr>
          <w:rFonts w:ascii="Times New Roman" w:hAnsi="Times New Roman" w:cs="Times New Roman"/>
        </w:rPr>
        <w:t xml:space="preserve">елисаности се може утврдити помоћу </w:t>
      </w:r>
      <w:r w:rsidR="00E76EEE" w:rsidRPr="00E76EEE">
        <w:rPr>
          <w:rFonts w:ascii="Times New Roman" w:hAnsi="Times New Roman" w:cs="Times New Roman"/>
        </w:rPr>
        <w:t xml:space="preserve">Durbin-Watson </w:t>
      </w:r>
      <w:r w:rsidR="00E76EEE">
        <w:rPr>
          <w:rFonts w:ascii="Times New Roman" w:hAnsi="Times New Roman" w:cs="Times New Roman"/>
        </w:rPr>
        <w:t xml:space="preserve">(DW) теста који процењује да ли </w:t>
      </w:r>
      <w:r w:rsidR="00674344">
        <w:rPr>
          <w:rFonts w:ascii="Times New Roman" w:hAnsi="Times New Roman" w:cs="Times New Roman"/>
        </w:rPr>
        <w:t xml:space="preserve">су резидуали (грешке) у регресионом моделу међусобно зависни. </w:t>
      </w:r>
      <w:r w:rsidR="00210CBE" w:rsidRPr="00210CBE">
        <w:rPr>
          <w:rFonts w:ascii="Times New Roman" w:hAnsi="Times New Roman" w:cs="Times New Roman"/>
        </w:rPr>
        <w:t>Вредности DW статистике варирају од 0 до 4, при чему вредности блиске 2 указују на одсуство аутокорелације, док вредности које су знатно ниже од 2 указују на присуство позитивне, а вредности које су знатно веће од 2 указују на присуство негативне аутокорелације. У случају када је DW статистика већа од 4, аутокорелација омета спровођење регресионе анализе.</w:t>
      </w:r>
      <w:r w:rsidR="00210CBE">
        <w:rPr>
          <w:rFonts w:ascii="Times New Roman" w:hAnsi="Times New Roman" w:cs="Times New Roman"/>
          <w:lang w:val="sr-Cyrl-RS"/>
        </w:rPr>
        <w:t xml:space="preserve"> </w:t>
      </w:r>
      <w:r w:rsidR="00FC4F5E">
        <w:rPr>
          <w:rFonts w:ascii="Times New Roman" w:hAnsi="Times New Roman" w:cs="Times New Roman"/>
        </w:rPr>
        <w:t>У нашем моделу DW статистика износи 1,875, па аутокорелација не омета спровођење регресионе анализе.</w:t>
      </w:r>
    </w:p>
    <w:p w14:paraId="6756273E" w14:textId="77777777" w:rsidR="00856F73" w:rsidRPr="00FC4F5E" w:rsidRDefault="00856F73" w:rsidP="009574B4">
      <w:pPr>
        <w:tabs>
          <w:tab w:val="left" w:pos="1410"/>
        </w:tabs>
        <w:jc w:val="both"/>
        <w:rPr>
          <w:rFonts w:ascii="Times New Roman" w:hAnsi="Times New Roman" w:cs="Times New Roman"/>
        </w:rPr>
      </w:pPr>
    </w:p>
    <w:p w14:paraId="6F2C59ED" w14:textId="77777777" w:rsidR="00F03EA9" w:rsidRPr="00AC56CE" w:rsidRDefault="007D3142" w:rsidP="00AC56CE">
      <w:pPr>
        <w:tabs>
          <w:tab w:val="left" w:pos="1410"/>
        </w:tabs>
        <w:jc w:val="both"/>
        <w:rPr>
          <w:rFonts w:ascii="Times New Roman" w:hAnsi="Times New Roman" w:cs="Times New Roman"/>
        </w:rPr>
      </w:pPr>
      <w:r w:rsidRPr="00D31D12">
        <w:rPr>
          <w:rFonts w:ascii="Times New Roman" w:hAnsi="Times New Roman" w:cs="Times New Roman"/>
        </w:rPr>
        <w:t xml:space="preserve">Табела </w:t>
      </w:r>
      <w:r>
        <w:rPr>
          <w:rFonts w:ascii="Times New Roman" w:hAnsi="Times New Roman" w:cs="Times New Roman"/>
        </w:rPr>
        <w:t>3</w:t>
      </w:r>
      <w:r w:rsidRPr="00D31D12">
        <w:rPr>
          <w:rFonts w:ascii="Times New Roman" w:hAnsi="Times New Roman" w:cs="Times New Roman"/>
        </w:rPr>
        <w:t xml:space="preserve">. Beta коефицијенти </w:t>
      </w:r>
      <w:r w:rsidR="00173F50">
        <w:rPr>
          <w:rFonts w:ascii="Times New Roman" w:hAnsi="Times New Roman" w:cs="Times New Roman"/>
        </w:rPr>
        <w:t xml:space="preserve">5 </w:t>
      </w:r>
      <w:r w:rsidRPr="00D31D12">
        <w:rPr>
          <w:rFonts w:ascii="Times New Roman" w:hAnsi="Times New Roman" w:cs="Times New Roman"/>
        </w:rPr>
        <w:t>предиктора</w:t>
      </w:r>
      <w:r>
        <w:rPr>
          <w:rFonts w:ascii="Times New Roman" w:hAnsi="Times New Roman" w:cs="Times New Roman"/>
        </w:rPr>
        <w:t xml:space="preserve">, </w:t>
      </w:r>
      <w:r w:rsidRPr="00D31D12">
        <w:rPr>
          <w:rFonts w:ascii="Times New Roman" w:hAnsi="Times New Roman" w:cs="Times New Roman"/>
        </w:rPr>
        <w:t xml:space="preserve">сигнификантност </w:t>
      </w:r>
      <w:r>
        <w:rPr>
          <w:rFonts w:ascii="Times New Roman" w:hAnsi="Times New Roman" w:cs="Times New Roman"/>
        </w:rPr>
        <w:t xml:space="preserve">и мултиколинеарност </w:t>
      </w:r>
    </w:p>
    <w:tbl>
      <w:tblPr>
        <w:tblStyle w:val="TableGridLight1"/>
        <w:tblW w:w="8032" w:type="dxa"/>
        <w:jc w:val="center"/>
        <w:tblLook w:val="0000" w:firstRow="0" w:lastRow="0" w:firstColumn="0" w:lastColumn="0" w:noHBand="0" w:noVBand="0"/>
      </w:tblPr>
      <w:tblGrid>
        <w:gridCol w:w="488"/>
        <w:gridCol w:w="1257"/>
        <w:gridCol w:w="2523"/>
        <w:gridCol w:w="850"/>
        <w:gridCol w:w="746"/>
        <w:gridCol w:w="1274"/>
        <w:gridCol w:w="894"/>
      </w:tblGrid>
      <w:tr w:rsidR="001405B2" w:rsidRPr="00F03EA9" w14:paraId="3CF8A109" w14:textId="77777777" w:rsidTr="006350E7">
        <w:trPr>
          <w:trHeight w:val="333"/>
          <w:jc w:val="center"/>
        </w:trPr>
        <w:tc>
          <w:tcPr>
            <w:tcW w:w="0" w:type="auto"/>
            <w:gridSpan w:val="2"/>
            <w:vMerge w:val="restart"/>
          </w:tcPr>
          <w:p w14:paraId="51C607B8"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Model</w:t>
            </w:r>
          </w:p>
        </w:tc>
        <w:tc>
          <w:tcPr>
            <w:tcW w:w="0" w:type="auto"/>
          </w:tcPr>
          <w:p w14:paraId="35230492" w14:textId="77777777" w:rsidR="001405B2" w:rsidRPr="00571AF6" w:rsidRDefault="001405B2" w:rsidP="00BF432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71AF6">
              <w:rPr>
                <w:rFonts w:ascii="Times New Roman" w:hAnsi="Times New Roman" w:cs="Times New Roman"/>
                <w:color w:val="000000"/>
                <w:sz w:val="18"/>
                <w:szCs w:val="18"/>
              </w:rPr>
              <w:t>Standardized Coefficients</w:t>
            </w:r>
          </w:p>
        </w:tc>
        <w:tc>
          <w:tcPr>
            <w:tcW w:w="0" w:type="auto"/>
            <w:vMerge w:val="restart"/>
          </w:tcPr>
          <w:p w14:paraId="1B733001" w14:textId="77777777" w:rsidR="001405B2" w:rsidRPr="00571AF6" w:rsidRDefault="001405B2" w:rsidP="00BF432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71AF6">
              <w:rPr>
                <w:rFonts w:ascii="Times New Roman" w:hAnsi="Times New Roman" w:cs="Times New Roman"/>
                <w:color w:val="000000"/>
                <w:sz w:val="18"/>
                <w:szCs w:val="18"/>
              </w:rPr>
              <w:t>t</w:t>
            </w:r>
          </w:p>
        </w:tc>
        <w:tc>
          <w:tcPr>
            <w:tcW w:w="0" w:type="auto"/>
            <w:vMerge w:val="restart"/>
          </w:tcPr>
          <w:p w14:paraId="2D055D79" w14:textId="77777777" w:rsidR="001405B2" w:rsidRPr="00571AF6" w:rsidRDefault="001405B2" w:rsidP="00BF432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71AF6">
              <w:rPr>
                <w:rFonts w:ascii="Times New Roman" w:hAnsi="Times New Roman" w:cs="Times New Roman"/>
                <w:color w:val="000000"/>
                <w:sz w:val="18"/>
                <w:szCs w:val="18"/>
              </w:rPr>
              <w:t>Sig.</w:t>
            </w:r>
          </w:p>
        </w:tc>
        <w:tc>
          <w:tcPr>
            <w:tcW w:w="0" w:type="auto"/>
            <w:gridSpan w:val="2"/>
          </w:tcPr>
          <w:p w14:paraId="41DFACE5" w14:textId="77777777" w:rsidR="001405B2" w:rsidRPr="00571AF6" w:rsidRDefault="001405B2" w:rsidP="00BF432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71AF6">
              <w:rPr>
                <w:rFonts w:ascii="Times New Roman" w:hAnsi="Times New Roman" w:cs="Times New Roman"/>
                <w:color w:val="000000"/>
                <w:sz w:val="18"/>
                <w:szCs w:val="18"/>
              </w:rPr>
              <w:t>Collinearity Statistics</w:t>
            </w:r>
          </w:p>
        </w:tc>
      </w:tr>
      <w:tr w:rsidR="001405B2" w:rsidRPr="00F03EA9" w14:paraId="6CFB4F36" w14:textId="77777777" w:rsidTr="006350E7">
        <w:trPr>
          <w:trHeight w:val="333"/>
          <w:jc w:val="center"/>
        </w:trPr>
        <w:tc>
          <w:tcPr>
            <w:tcW w:w="0" w:type="auto"/>
            <w:gridSpan w:val="2"/>
            <w:vMerge/>
          </w:tcPr>
          <w:p w14:paraId="2946B9ED"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tcPr>
          <w:p w14:paraId="195782E8" w14:textId="77777777" w:rsidR="001405B2" w:rsidRPr="00571AF6" w:rsidRDefault="001405B2" w:rsidP="00BF432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71AF6">
              <w:rPr>
                <w:rFonts w:ascii="Times New Roman" w:hAnsi="Times New Roman" w:cs="Times New Roman"/>
                <w:color w:val="000000"/>
                <w:sz w:val="18"/>
                <w:szCs w:val="18"/>
              </w:rPr>
              <w:t>Beta</w:t>
            </w:r>
          </w:p>
        </w:tc>
        <w:tc>
          <w:tcPr>
            <w:tcW w:w="0" w:type="auto"/>
            <w:vMerge/>
          </w:tcPr>
          <w:p w14:paraId="4D45AE89"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vMerge/>
          </w:tcPr>
          <w:p w14:paraId="054596B7"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tcPr>
          <w:p w14:paraId="59B38EE5" w14:textId="77777777" w:rsidR="001405B2" w:rsidRPr="00571AF6" w:rsidRDefault="001405B2" w:rsidP="00BF432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71AF6">
              <w:rPr>
                <w:rFonts w:ascii="Times New Roman" w:hAnsi="Times New Roman" w:cs="Times New Roman"/>
                <w:color w:val="000000"/>
                <w:sz w:val="18"/>
                <w:szCs w:val="18"/>
              </w:rPr>
              <w:t>Tolerance</w:t>
            </w:r>
          </w:p>
        </w:tc>
        <w:tc>
          <w:tcPr>
            <w:tcW w:w="0" w:type="auto"/>
          </w:tcPr>
          <w:p w14:paraId="587DCBAB" w14:textId="77777777" w:rsidR="001405B2" w:rsidRPr="00571AF6" w:rsidRDefault="001405B2" w:rsidP="00BF432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71AF6">
              <w:rPr>
                <w:rFonts w:ascii="Times New Roman" w:hAnsi="Times New Roman" w:cs="Times New Roman"/>
                <w:color w:val="000000"/>
                <w:sz w:val="18"/>
                <w:szCs w:val="18"/>
              </w:rPr>
              <w:t>VIF</w:t>
            </w:r>
          </w:p>
        </w:tc>
      </w:tr>
      <w:tr w:rsidR="001405B2" w:rsidRPr="00F03EA9" w14:paraId="3F1EE7F7" w14:textId="77777777" w:rsidTr="006350E7">
        <w:trPr>
          <w:trHeight w:val="333"/>
          <w:jc w:val="center"/>
        </w:trPr>
        <w:tc>
          <w:tcPr>
            <w:tcW w:w="0" w:type="auto"/>
            <w:vMerge w:val="restart"/>
          </w:tcPr>
          <w:p w14:paraId="001AC0A2"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1</w:t>
            </w:r>
          </w:p>
        </w:tc>
        <w:tc>
          <w:tcPr>
            <w:tcW w:w="0" w:type="auto"/>
          </w:tcPr>
          <w:p w14:paraId="1D5CBDA0"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(Constant)</w:t>
            </w:r>
          </w:p>
        </w:tc>
        <w:tc>
          <w:tcPr>
            <w:tcW w:w="0" w:type="auto"/>
          </w:tcPr>
          <w:p w14:paraId="09E37481" w14:textId="77777777" w:rsidR="001405B2" w:rsidRPr="00571AF6" w:rsidRDefault="001405B2" w:rsidP="00BF4325">
            <w:pPr>
              <w:autoSpaceDE w:val="0"/>
              <w:autoSpaceDN w:val="0"/>
              <w:adjustRightInd w:val="0"/>
              <w:rPr>
                <w:rFonts w:ascii="Times New Roman" w:hAnsi="Times New Roman" w:cs="Times New Roman"/>
                <w:sz w:val="18"/>
                <w:szCs w:val="18"/>
              </w:rPr>
            </w:pPr>
          </w:p>
        </w:tc>
        <w:tc>
          <w:tcPr>
            <w:tcW w:w="0" w:type="auto"/>
          </w:tcPr>
          <w:p w14:paraId="75F91E66"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,470</w:t>
            </w:r>
          </w:p>
        </w:tc>
        <w:tc>
          <w:tcPr>
            <w:tcW w:w="0" w:type="auto"/>
          </w:tcPr>
          <w:p w14:paraId="71102F54"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,638</w:t>
            </w:r>
          </w:p>
        </w:tc>
        <w:tc>
          <w:tcPr>
            <w:tcW w:w="0" w:type="auto"/>
          </w:tcPr>
          <w:p w14:paraId="14F4A886" w14:textId="77777777" w:rsidR="001405B2" w:rsidRPr="00571AF6" w:rsidRDefault="001405B2" w:rsidP="00BF4325">
            <w:pPr>
              <w:autoSpaceDE w:val="0"/>
              <w:autoSpaceDN w:val="0"/>
              <w:adjustRightInd w:val="0"/>
              <w:rPr>
                <w:rFonts w:ascii="Times New Roman" w:hAnsi="Times New Roman" w:cs="Times New Roman"/>
                <w:sz w:val="18"/>
                <w:szCs w:val="18"/>
              </w:rPr>
            </w:pPr>
          </w:p>
        </w:tc>
        <w:tc>
          <w:tcPr>
            <w:tcW w:w="0" w:type="auto"/>
          </w:tcPr>
          <w:p w14:paraId="08F1CBAA" w14:textId="77777777" w:rsidR="001405B2" w:rsidRPr="00571AF6" w:rsidRDefault="001405B2" w:rsidP="00BF4325">
            <w:pPr>
              <w:autoSpaceDE w:val="0"/>
              <w:autoSpaceDN w:val="0"/>
              <w:adjustRightInd w:val="0"/>
              <w:rPr>
                <w:rFonts w:ascii="Times New Roman" w:hAnsi="Times New Roman" w:cs="Times New Roman"/>
                <w:sz w:val="18"/>
                <w:szCs w:val="18"/>
              </w:rPr>
            </w:pPr>
          </w:p>
        </w:tc>
      </w:tr>
      <w:tr w:rsidR="001405B2" w:rsidRPr="00F03EA9" w14:paraId="2FFCCBAF" w14:textId="77777777" w:rsidTr="006350E7">
        <w:trPr>
          <w:trHeight w:val="350"/>
          <w:jc w:val="center"/>
        </w:trPr>
        <w:tc>
          <w:tcPr>
            <w:tcW w:w="0" w:type="auto"/>
            <w:vMerge/>
          </w:tcPr>
          <w:p w14:paraId="1FB5B2D8" w14:textId="77777777" w:rsidR="001405B2" w:rsidRPr="00571AF6" w:rsidRDefault="001405B2" w:rsidP="00BF4325">
            <w:pPr>
              <w:autoSpaceDE w:val="0"/>
              <w:autoSpaceDN w:val="0"/>
              <w:adjustRightInd w:val="0"/>
              <w:rPr>
                <w:rFonts w:ascii="Times New Roman" w:hAnsi="Times New Roman" w:cs="Times New Roman"/>
                <w:sz w:val="18"/>
                <w:szCs w:val="18"/>
              </w:rPr>
            </w:pPr>
          </w:p>
        </w:tc>
        <w:tc>
          <w:tcPr>
            <w:tcW w:w="0" w:type="auto"/>
          </w:tcPr>
          <w:p w14:paraId="189AC038"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SCCO</w:t>
            </w:r>
          </w:p>
        </w:tc>
        <w:tc>
          <w:tcPr>
            <w:tcW w:w="0" w:type="auto"/>
          </w:tcPr>
          <w:p w14:paraId="03CCDD38"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,206</w:t>
            </w:r>
          </w:p>
        </w:tc>
        <w:tc>
          <w:tcPr>
            <w:tcW w:w="0" w:type="auto"/>
          </w:tcPr>
          <w:p w14:paraId="654F5BA6"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7,210</w:t>
            </w:r>
          </w:p>
        </w:tc>
        <w:tc>
          <w:tcPr>
            <w:tcW w:w="0" w:type="auto"/>
          </w:tcPr>
          <w:p w14:paraId="307BD2E3"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,000</w:t>
            </w:r>
          </w:p>
        </w:tc>
        <w:tc>
          <w:tcPr>
            <w:tcW w:w="0" w:type="auto"/>
          </w:tcPr>
          <w:p w14:paraId="1956114E"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,455</w:t>
            </w:r>
          </w:p>
        </w:tc>
        <w:tc>
          <w:tcPr>
            <w:tcW w:w="0" w:type="auto"/>
          </w:tcPr>
          <w:p w14:paraId="15E291B7"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2,196</w:t>
            </w:r>
          </w:p>
        </w:tc>
      </w:tr>
      <w:tr w:rsidR="001405B2" w:rsidRPr="00F03EA9" w14:paraId="3D90C059" w14:textId="77777777" w:rsidTr="006350E7">
        <w:trPr>
          <w:trHeight w:val="350"/>
          <w:jc w:val="center"/>
        </w:trPr>
        <w:tc>
          <w:tcPr>
            <w:tcW w:w="0" w:type="auto"/>
            <w:vMerge/>
          </w:tcPr>
          <w:p w14:paraId="101EC6E1"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tcPr>
          <w:p w14:paraId="07C05219"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STLD</w:t>
            </w:r>
          </w:p>
        </w:tc>
        <w:tc>
          <w:tcPr>
            <w:tcW w:w="0" w:type="auto"/>
          </w:tcPr>
          <w:p w14:paraId="781A50EF"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,203</w:t>
            </w:r>
          </w:p>
        </w:tc>
        <w:tc>
          <w:tcPr>
            <w:tcW w:w="0" w:type="auto"/>
          </w:tcPr>
          <w:p w14:paraId="249FE872"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7,216</w:t>
            </w:r>
          </w:p>
        </w:tc>
        <w:tc>
          <w:tcPr>
            <w:tcW w:w="0" w:type="auto"/>
          </w:tcPr>
          <w:p w14:paraId="25A52E90"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,000</w:t>
            </w:r>
          </w:p>
        </w:tc>
        <w:tc>
          <w:tcPr>
            <w:tcW w:w="0" w:type="auto"/>
          </w:tcPr>
          <w:p w14:paraId="4CF81949"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,471</w:t>
            </w:r>
          </w:p>
        </w:tc>
        <w:tc>
          <w:tcPr>
            <w:tcW w:w="0" w:type="auto"/>
          </w:tcPr>
          <w:p w14:paraId="64EEF097"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2,124</w:t>
            </w:r>
          </w:p>
        </w:tc>
      </w:tr>
      <w:tr w:rsidR="001405B2" w:rsidRPr="00F03EA9" w14:paraId="1BE0A9A6" w14:textId="77777777" w:rsidTr="006350E7">
        <w:trPr>
          <w:trHeight w:val="333"/>
          <w:jc w:val="center"/>
        </w:trPr>
        <w:tc>
          <w:tcPr>
            <w:tcW w:w="0" w:type="auto"/>
            <w:vMerge/>
          </w:tcPr>
          <w:p w14:paraId="752FFAF5"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tcPr>
          <w:p w14:paraId="4CBB8708"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SPY</w:t>
            </w:r>
          </w:p>
        </w:tc>
        <w:tc>
          <w:tcPr>
            <w:tcW w:w="0" w:type="auto"/>
          </w:tcPr>
          <w:p w14:paraId="51382BD3"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,237</w:t>
            </w:r>
          </w:p>
        </w:tc>
        <w:tc>
          <w:tcPr>
            <w:tcW w:w="0" w:type="auto"/>
          </w:tcPr>
          <w:p w14:paraId="72F62965"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7,020</w:t>
            </w:r>
          </w:p>
        </w:tc>
        <w:tc>
          <w:tcPr>
            <w:tcW w:w="0" w:type="auto"/>
          </w:tcPr>
          <w:p w14:paraId="689F0F89"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,000</w:t>
            </w:r>
          </w:p>
        </w:tc>
        <w:tc>
          <w:tcPr>
            <w:tcW w:w="0" w:type="auto"/>
          </w:tcPr>
          <w:p w14:paraId="3923E0BF"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,328</w:t>
            </w:r>
          </w:p>
        </w:tc>
        <w:tc>
          <w:tcPr>
            <w:tcW w:w="0" w:type="auto"/>
          </w:tcPr>
          <w:p w14:paraId="3071E165"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3,049</w:t>
            </w:r>
          </w:p>
        </w:tc>
      </w:tr>
      <w:tr w:rsidR="001405B2" w:rsidRPr="00F03EA9" w14:paraId="0EEB0111" w14:textId="77777777" w:rsidTr="006350E7">
        <w:trPr>
          <w:trHeight w:val="350"/>
          <w:jc w:val="center"/>
        </w:trPr>
        <w:tc>
          <w:tcPr>
            <w:tcW w:w="0" w:type="auto"/>
            <w:vMerge/>
          </w:tcPr>
          <w:p w14:paraId="14D90380"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tcPr>
          <w:p w14:paraId="6467EFD5"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AA</w:t>
            </w:r>
          </w:p>
        </w:tc>
        <w:tc>
          <w:tcPr>
            <w:tcW w:w="0" w:type="auto"/>
          </w:tcPr>
          <w:p w14:paraId="0268B046"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,108</w:t>
            </w:r>
          </w:p>
        </w:tc>
        <w:tc>
          <w:tcPr>
            <w:tcW w:w="0" w:type="auto"/>
          </w:tcPr>
          <w:p w14:paraId="053F2482"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3,848</w:t>
            </w:r>
          </w:p>
        </w:tc>
        <w:tc>
          <w:tcPr>
            <w:tcW w:w="0" w:type="auto"/>
          </w:tcPr>
          <w:p w14:paraId="62682FBF"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,000</w:t>
            </w:r>
          </w:p>
        </w:tc>
        <w:tc>
          <w:tcPr>
            <w:tcW w:w="0" w:type="auto"/>
          </w:tcPr>
          <w:p w14:paraId="51FC9CC6"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,470</w:t>
            </w:r>
          </w:p>
        </w:tc>
        <w:tc>
          <w:tcPr>
            <w:tcW w:w="0" w:type="auto"/>
          </w:tcPr>
          <w:p w14:paraId="63174626"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2,128</w:t>
            </w:r>
          </w:p>
        </w:tc>
      </w:tr>
      <w:tr w:rsidR="001405B2" w:rsidRPr="00F03EA9" w14:paraId="4A577B96" w14:textId="77777777" w:rsidTr="006350E7">
        <w:trPr>
          <w:trHeight w:val="333"/>
          <w:jc w:val="center"/>
        </w:trPr>
        <w:tc>
          <w:tcPr>
            <w:tcW w:w="0" w:type="auto"/>
            <w:vMerge/>
          </w:tcPr>
          <w:p w14:paraId="689493CF" w14:textId="77777777" w:rsidR="001405B2" w:rsidRPr="00571AF6" w:rsidRDefault="001405B2" w:rsidP="00BF4325">
            <w:pPr>
              <w:autoSpaceDE w:val="0"/>
              <w:autoSpaceDN w:val="0"/>
              <w:adjustRightInd w:val="0"/>
              <w:rPr>
                <w:rFonts w:ascii="Times New Roman" w:hAnsi="Times New Roman" w:cs="Times New Roman"/>
                <w:color w:val="000000"/>
                <w:sz w:val="18"/>
                <w:szCs w:val="18"/>
              </w:rPr>
            </w:pPr>
          </w:p>
        </w:tc>
        <w:tc>
          <w:tcPr>
            <w:tcW w:w="0" w:type="auto"/>
          </w:tcPr>
          <w:p w14:paraId="26F7539A" w14:textId="77777777" w:rsidR="001405B2" w:rsidRPr="00571AF6" w:rsidRDefault="001405B2" w:rsidP="00BF4325">
            <w:pPr>
              <w:autoSpaceDE w:val="0"/>
              <w:autoSpaceDN w:val="0"/>
              <w:adjustRightInd w:val="0"/>
              <w:spacing w:line="320" w:lineRule="atLeast"/>
              <w:ind w:left="60" w:right="60"/>
              <w:rPr>
                <w:rFonts w:ascii="Times New Roman" w:hAnsi="Times New Roman" w:cs="Times New Roman"/>
                <w:color w:val="000000"/>
                <w:sz w:val="18"/>
                <w:szCs w:val="18"/>
              </w:rPr>
            </w:pPr>
            <w:r w:rsidRPr="00571AF6">
              <w:rPr>
                <w:rFonts w:ascii="Times New Roman" w:hAnsi="Times New Roman" w:cs="Times New Roman"/>
                <w:color w:val="000000"/>
                <w:sz w:val="18"/>
                <w:szCs w:val="18"/>
              </w:rPr>
              <w:t>PKB</w:t>
            </w:r>
          </w:p>
        </w:tc>
        <w:tc>
          <w:tcPr>
            <w:tcW w:w="0" w:type="auto"/>
          </w:tcPr>
          <w:p w14:paraId="794F07E5"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,121</w:t>
            </w:r>
          </w:p>
        </w:tc>
        <w:tc>
          <w:tcPr>
            <w:tcW w:w="0" w:type="auto"/>
          </w:tcPr>
          <w:p w14:paraId="67EECAEF"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3,556</w:t>
            </w:r>
          </w:p>
        </w:tc>
        <w:tc>
          <w:tcPr>
            <w:tcW w:w="0" w:type="auto"/>
          </w:tcPr>
          <w:p w14:paraId="4EEC1EA5"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,000</w:t>
            </w:r>
          </w:p>
        </w:tc>
        <w:tc>
          <w:tcPr>
            <w:tcW w:w="0" w:type="auto"/>
          </w:tcPr>
          <w:p w14:paraId="53608864"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,324</w:t>
            </w:r>
          </w:p>
        </w:tc>
        <w:tc>
          <w:tcPr>
            <w:tcW w:w="0" w:type="auto"/>
          </w:tcPr>
          <w:p w14:paraId="395D461C" w14:textId="77777777" w:rsidR="001405B2" w:rsidRPr="00571AF6" w:rsidRDefault="001405B2" w:rsidP="00BF432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71AF6">
              <w:rPr>
                <w:rFonts w:ascii="Times New Roman" w:hAnsi="Times New Roman" w:cs="Times New Roman"/>
                <w:color w:val="000000"/>
                <w:sz w:val="18"/>
                <w:szCs w:val="18"/>
              </w:rPr>
              <w:t>3,088</w:t>
            </w:r>
          </w:p>
        </w:tc>
      </w:tr>
    </w:tbl>
    <w:p w14:paraId="6A90898D" w14:textId="77777777" w:rsidR="00F03EA9" w:rsidRPr="00A33A21" w:rsidRDefault="00C75EF1" w:rsidP="00C75EF1">
      <w:pPr>
        <w:jc w:val="both"/>
        <w:rPr>
          <w:rFonts w:ascii="Times New Roman" w:hAnsi="Times New Roman" w:cs="Times New Roman"/>
        </w:rPr>
      </w:pPr>
      <w:r>
        <w:rPr>
          <w:rFonts w:ascii="Times New Roman" w:hAnsi="Times New Roman" w:cs="Times New Roman"/>
        </w:rPr>
        <w:t xml:space="preserve">Извор: </w:t>
      </w:r>
      <w:r w:rsidRPr="00C75EF1">
        <w:rPr>
          <w:rFonts w:ascii="Times New Roman" w:hAnsi="Times New Roman" w:cs="Times New Roman"/>
        </w:rPr>
        <w:t>Калкулација аутора на основу SPSS-а</w:t>
      </w:r>
    </w:p>
    <w:p w14:paraId="45F9D4D1" w14:textId="77777777" w:rsidR="00C75EF1" w:rsidRDefault="00C75EF1" w:rsidP="00F03EA9">
      <w:pPr>
        <w:autoSpaceDE w:val="0"/>
        <w:autoSpaceDN w:val="0"/>
        <w:adjustRightInd w:val="0"/>
        <w:spacing w:after="0" w:line="400" w:lineRule="atLeast"/>
        <w:rPr>
          <w:rFonts w:ascii="Times New Roman" w:hAnsi="Times New Roman" w:cs="Times New Roman"/>
          <w:sz w:val="24"/>
          <w:szCs w:val="24"/>
        </w:rPr>
      </w:pPr>
    </w:p>
    <w:p w14:paraId="1C6633AA" w14:textId="77777777" w:rsidR="00536E76" w:rsidRPr="009C77B0" w:rsidRDefault="00536E76" w:rsidP="009C77B0">
      <w:pPr>
        <w:jc w:val="both"/>
        <w:rPr>
          <w:rFonts w:ascii="Times New Roman" w:hAnsi="Times New Roman" w:cs="Times New Roman"/>
        </w:rPr>
      </w:pPr>
      <w:bookmarkStart w:id="31" w:name="_Hlk161425953"/>
      <w:r w:rsidRPr="009C77B0">
        <w:rPr>
          <w:rFonts w:ascii="Times New Roman" w:hAnsi="Times New Roman" w:cs="Times New Roman"/>
        </w:rPr>
        <w:t xml:space="preserve">Понављањем вишеструке линеарне регресионе анализе, тестиране су </w:t>
      </w:r>
      <w:r w:rsidR="003C1F4B" w:rsidRPr="009C77B0">
        <w:rPr>
          <w:rFonts w:ascii="Times New Roman" w:hAnsi="Times New Roman" w:cs="Times New Roman"/>
        </w:rPr>
        <w:t xml:space="preserve">постављене опште </w:t>
      </w:r>
      <w:r w:rsidRPr="009C77B0">
        <w:rPr>
          <w:rFonts w:ascii="Times New Roman" w:hAnsi="Times New Roman" w:cs="Times New Roman"/>
        </w:rPr>
        <w:t>хипотезе и потврђено је да кретање приноса бакра, челика и алуминијума као сировина које Caterpiller користи имају статистички значајан утицај на кретање приноса CAT акција. С друге стране, поред SPY тржишног индекса, потврдили смо да додавањем системских варијабли</w:t>
      </w:r>
      <w:r w:rsidR="002135E7" w:rsidRPr="009C77B0">
        <w:rPr>
          <w:rFonts w:ascii="Times New Roman" w:hAnsi="Times New Roman" w:cs="Times New Roman"/>
        </w:rPr>
        <w:t xml:space="preserve"> (PKB фонд)</w:t>
      </w:r>
      <w:r w:rsidRPr="009C77B0">
        <w:rPr>
          <w:rFonts w:ascii="Times New Roman" w:hAnsi="Times New Roman" w:cs="Times New Roman"/>
        </w:rPr>
        <w:t xml:space="preserve"> које утичу на пословање Caterpiller-а, доприноси се предвиђању приноса CAT акција.</w:t>
      </w:r>
    </w:p>
    <w:bookmarkEnd w:id="31"/>
    <w:p w14:paraId="17D8BD27" w14:textId="124E6112" w:rsidR="00431C8F" w:rsidRDefault="007D3142" w:rsidP="009C77B0">
      <w:pPr>
        <w:jc w:val="both"/>
        <w:rPr>
          <w:rFonts w:ascii="Times New Roman" w:hAnsi="Times New Roman" w:cs="Times New Roman"/>
        </w:rPr>
      </w:pPr>
      <w:r w:rsidRPr="009C77B0">
        <w:rPr>
          <w:rFonts w:ascii="Times New Roman" w:hAnsi="Times New Roman" w:cs="Times New Roman"/>
        </w:rPr>
        <w:t xml:space="preserve">Тестирање адекватности целог модела линеарне регресије, познато као тест доброг прилагођавања (goodness-of-fit test), обично се врши помоћу F статистике. </w:t>
      </w:r>
      <w:r w:rsidR="008D1A90" w:rsidRPr="008D1A90">
        <w:rPr>
          <w:rFonts w:ascii="Times New Roman" w:hAnsi="Times New Roman" w:cs="Times New Roman"/>
        </w:rPr>
        <w:t xml:space="preserve">F статистика мери колико добро се регресиони модел прилагођава подацима, односно процењује укупну значајност целог модела. Ако је F статистика значајна (тј. ако је p вредност мања од одређеног нивоа значајности, најчешће 0,05), то указује да постоји значајна линеарна веза између независних и зависне променљиве, односно да је модел адекватан у објашњавању варијабилности у зависној променљивој. Већа F статистика указује на боље прилагођавање, што значи да модел објашњава значајан део варијансе зависне варијабле у поређењу са случајном грешком.  </w:t>
      </w:r>
      <w:r w:rsidR="00141594" w:rsidRPr="00141594">
        <w:rPr>
          <w:rFonts w:ascii="Times New Roman" w:hAnsi="Times New Roman" w:cs="Times New Roman"/>
        </w:rPr>
        <w:t>У Табели 4 су представљене вредности коефицијента детерминације и F статистике за сва три анализирана модела.</w:t>
      </w:r>
      <w:r w:rsidR="008D1A90" w:rsidRPr="008D1A90">
        <w:t xml:space="preserve"> </w:t>
      </w:r>
    </w:p>
    <w:p w14:paraId="41906CFD" w14:textId="77777777" w:rsidR="00D8489D" w:rsidRDefault="00D8489D" w:rsidP="009C77B0">
      <w:pPr>
        <w:jc w:val="both"/>
        <w:rPr>
          <w:rFonts w:ascii="Times New Roman" w:hAnsi="Times New Roman" w:cs="Times New Roman"/>
        </w:rPr>
      </w:pPr>
    </w:p>
    <w:p w14:paraId="738994F8" w14:textId="77777777" w:rsidR="00141594" w:rsidRPr="00141594" w:rsidRDefault="00141594" w:rsidP="009C77B0">
      <w:pPr>
        <w:jc w:val="both"/>
        <w:rPr>
          <w:rFonts w:ascii="Times New Roman" w:hAnsi="Times New Roman" w:cs="Times New Roman"/>
        </w:rPr>
      </w:pPr>
      <w:r>
        <w:rPr>
          <w:rFonts w:ascii="Times New Roman" w:hAnsi="Times New Roman" w:cs="Times New Roman"/>
        </w:rPr>
        <w:t xml:space="preserve">Табела 4. Коефицијенти детерминације и F статистике за регресионе моделе </w:t>
      </w:r>
    </w:p>
    <w:tbl>
      <w:tblPr>
        <w:tblStyle w:val="TableGridLight1"/>
        <w:tblW w:w="8721" w:type="dxa"/>
        <w:jc w:val="center"/>
        <w:tblLook w:val="04A0" w:firstRow="1" w:lastRow="0" w:firstColumn="1" w:lastColumn="0" w:noHBand="0" w:noVBand="1"/>
      </w:tblPr>
      <w:tblGrid>
        <w:gridCol w:w="2048"/>
        <w:gridCol w:w="2079"/>
        <w:gridCol w:w="1560"/>
        <w:gridCol w:w="1517"/>
        <w:gridCol w:w="1517"/>
      </w:tblGrid>
      <w:tr w:rsidR="00571AF6" w14:paraId="40E4B259" w14:textId="77777777" w:rsidTr="006350E7">
        <w:trPr>
          <w:trHeight w:val="471"/>
          <w:jc w:val="center"/>
        </w:trPr>
        <w:tc>
          <w:tcPr>
            <w:tcW w:w="0" w:type="auto"/>
          </w:tcPr>
          <w:p w14:paraId="0024E8E8" w14:textId="77777777" w:rsidR="00571AF6" w:rsidRPr="00571AF6" w:rsidRDefault="00571AF6" w:rsidP="00375746">
            <w:pPr>
              <w:spacing w:before="120"/>
              <w:jc w:val="both"/>
              <w:rPr>
                <w:rFonts w:ascii="Times New Roman" w:hAnsi="Times New Roman" w:cs="Times New Roman"/>
                <w:sz w:val="18"/>
                <w:szCs w:val="18"/>
              </w:rPr>
            </w:pPr>
          </w:p>
        </w:tc>
        <w:tc>
          <w:tcPr>
            <w:tcW w:w="0" w:type="auto"/>
          </w:tcPr>
          <w:p w14:paraId="2307B4AB" w14:textId="77777777" w:rsidR="00571AF6" w:rsidRPr="00571AF6" w:rsidRDefault="00571AF6" w:rsidP="00375746">
            <w:pPr>
              <w:spacing w:before="120"/>
              <w:jc w:val="center"/>
              <w:rPr>
                <w:rFonts w:ascii="Times New Roman" w:hAnsi="Times New Roman" w:cs="Times New Roman"/>
                <w:sz w:val="18"/>
                <w:szCs w:val="18"/>
              </w:rPr>
            </w:pPr>
            <w:r>
              <w:rPr>
                <w:rFonts w:ascii="Times New Roman" w:hAnsi="Times New Roman" w:cs="Times New Roman"/>
                <w:sz w:val="18"/>
                <w:szCs w:val="18"/>
              </w:rPr>
              <w:t>Модел са једним предиктором (SPY)</w:t>
            </w:r>
          </w:p>
        </w:tc>
        <w:tc>
          <w:tcPr>
            <w:tcW w:w="0" w:type="auto"/>
          </w:tcPr>
          <w:p w14:paraId="79AADA49" w14:textId="77777777" w:rsidR="00571AF6" w:rsidRPr="00571AF6" w:rsidRDefault="00571AF6" w:rsidP="00375746">
            <w:pPr>
              <w:spacing w:before="120"/>
              <w:jc w:val="center"/>
              <w:rPr>
                <w:rFonts w:ascii="Times New Roman" w:hAnsi="Times New Roman" w:cs="Times New Roman"/>
                <w:sz w:val="18"/>
                <w:szCs w:val="18"/>
              </w:rPr>
            </w:pPr>
            <w:r w:rsidRPr="00571AF6">
              <w:rPr>
                <w:rFonts w:ascii="Times New Roman" w:hAnsi="Times New Roman" w:cs="Times New Roman"/>
                <w:sz w:val="18"/>
                <w:szCs w:val="18"/>
              </w:rPr>
              <w:t>Модел са 11 предиктора</w:t>
            </w:r>
          </w:p>
        </w:tc>
        <w:tc>
          <w:tcPr>
            <w:tcW w:w="0" w:type="auto"/>
          </w:tcPr>
          <w:p w14:paraId="2A852CC4" w14:textId="77777777" w:rsidR="00571AF6" w:rsidRPr="00571AF6" w:rsidRDefault="00571AF6" w:rsidP="00375746">
            <w:pPr>
              <w:spacing w:before="120"/>
              <w:jc w:val="center"/>
              <w:rPr>
                <w:rFonts w:ascii="Times New Roman" w:hAnsi="Times New Roman" w:cs="Times New Roman"/>
                <w:sz w:val="18"/>
                <w:szCs w:val="18"/>
              </w:rPr>
            </w:pPr>
            <w:r w:rsidRPr="00571AF6">
              <w:rPr>
                <w:rFonts w:ascii="Times New Roman" w:hAnsi="Times New Roman" w:cs="Times New Roman"/>
                <w:sz w:val="18"/>
                <w:szCs w:val="18"/>
              </w:rPr>
              <w:t>Модел са 7 предиктора</w:t>
            </w:r>
          </w:p>
        </w:tc>
        <w:tc>
          <w:tcPr>
            <w:tcW w:w="0" w:type="auto"/>
          </w:tcPr>
          <w:p w14:paraId="521313A0" w14:textId="77777777" w:rsidR="00571AF6" w:rsidRPr="00571AF6" w:rsidRDefault="00571AF6" w:rsidP="00375746">
            <w:pPr>
              <w:spacing w:before="120"/>
              <w:jc w:val="center"/>
              <w:rPr>
                <w:rFonts w:ascii="Times New Roman" w:hAnsi="Times New Roman" w:cs="Times New Roman"/>
                <w:sz w:val="18"/>
                <w:szCs w:val="18"/>
              </w:rPr>
            </w:pPr>
            <w:r w:rsidRPr="00571AF6">
              <w:rPr>
                <w:rFonts w:ascii="Times New Roman" w:hAnsi="Times New Roman" w:cs="Times New Roman"/>
                <w:sz w:val="18"/>
                <w:szCs w:val="18"/>
              </w:rPr>
              <w:t>Модел са 5 предиктора</w:t>
            </w:r>
          </w:p>
        </w:tc>
      </w:tr>
      <w:tr w:rsidR="00571AF6" w14:paraId="745BF25D" w14:textId="77777777" w:rsidTr="006350E7">
        <w:trPr>
          <w:trHeight w:val="369"/>
          <w:jc w:val="center"/>
        </w:trPr>
        <w:tc>
          <w:tcPr>
            <w:tcW w:w="0" w:type="auto"/>
          </w:tcPr>
          <w:p w14:paraId="209AD647" w14:textId="77777777" w:rsidR="00571AF6" w:rsidRPr="00B54A0F" w:rsidRDefault="00571AF6" w:rsidP="00375746">
            <w:pPr>
              <w:spacing w:before="120"/>
              <w:jc w:val="both"/>
              <w:rPr>
                <w:rFonts w:ascii="Times New Roman" w:hAnsi="Times New Roman" w:cs="Times New Roman"/>
                <w:sz w:val="18"/>
                <w:szCs w:val="18"/>
              </w:rPr>
            </w:pPr>
            <w:r w:rsidRPr="00571AF6">
              <w:rPr>
                <w:rFonts w:ascii="Times New Roman" w:hAnsi="Times New Roman" w:cs="Times New Roman"/>
                <w:sz w:val="18"/>
                <w:szCs w:val="18"/>
              </w:rPr>
              <w:t>Коефицијент детерминације</w:t>
            </w:r>
            <w:r w:rsidR="00B54A0F">
              <w:rPr>
                <w:rFonts w:ascii="Times New Roman" w:hAnsi="Times New Roman" w:cs="Times New Roman"/>
                <w:sz w:val="18"/>
                <w:szCs w:val="18"/>
              </w:rPr>
              <w:t xml:space="preserve"> (у %)</w:t>
            </w:r>
          </w:p>
        </w:tc>
        <w:tc>
          <w:tcPr>
            <w:tcW w:w="0" w:type="auto"/>
          </w:tcPr>
          <w:p w14:paraId="6F1B2261" w14:textId="77777777" w:rsidR="00571AF6" w:rsidRPr="00B54A0F" w:rsidRDefault="00B54A0F" w:rsidP="00375746">
            <w:pPr>
              <w:spacing w:before="120"/>
              <w:jc w:val="right"/>
              <w:rPr>
                <w:rFonts w:ascii="Times New Roman" w:hAnsi="Times New Roman" w:cs="Times New Roman"/>
                <w:sz w:val="18"/>
                <w:szCs w:val="18"/>
              </w:rPr>
            </w:pPr>
            <w:r>
              <w:rPr>
                <w:rFonts w:ascii="Times New Roman" w:hAnsi="Times New Roman" w:cs="Times New Roman"/>
                <w:sz w:val="18"/>
                <w:szCs w:val="18"/>
              </w:rPr>
              <w:t>40,1</w:t>
            </w:r>
          </w:p>
        </w:tc>
        <w:tc>
          <w:tcPr>
            <w:tcW w:w="0" w:type="auto"/>
          </w:tcPr>
          <w:p w14:paraId="7F02D31A" w14:textId="77777777" w:rsidR="00571AF6" w:rsidRPr="00571AF6" w:rsidRDefault="00B54A0F" w:rsidP="00375746">
            <w:pPr>
              <w:spacing w:before="120"/>
              <w:jc w:val="right"/>
              <w:rPr>
                <w:rFonts w:ascii="Times New Roman" w:hAnsi="Times New Roman" w:cs="Times New Roman"/>
                <w:sz w:val="18"/>
                <w:szCs w:val="18"/>
              </w:rPr>
            </w:pPr>
            <w:r>
              <w:rPr>
                <w:rFonts w:ascii="Times New Roman" w:hAnsi="Times New Roman" w:cs="Times New Roman"/>
                <w:sz w:val="18"/>
                <w:szCs w:val="18"/>
              </w:rPr>
              <w:t>54,7</w:t>
            </w:r>
          </w:p>
        </w:tc>
        <w:tc>
          <w:tcPr>
            <w:tcW w:w="0" w:type="auto"/>
          </w:tcPr>
          <w:p w14:paraId="2A6993FE" w14:textId="77777777" w:rsidR="00571AF6" w:rsidRPr="00571AF6" w:rsidRDefault="00B54A0F" w:rsidP="00375746">
            <w:pPr>
              <w:spacing w:before="120"/>
              <w:jc w:val="right"/>
              <w:rPr>
                <w:rFonts w:ascii="Times New Roman" w:hAnsi="Times New Roman" w:cs="Times New Roman"/>
                <w:sz w:val="18"/>
                <w:szCs w:val="18"/>
              </w:rPr>
            </w:pPr>
            <w:r>
              <w:rPr>
                <w:rFonts w:ascii="Times New Roman" w:hAnsi="Times New Roman" w:cs="Times New Roman"/>
                <w:sz w:val="18"/>
                <w:szCs w:val="18"/>
              </w:rPr>
              <w:t>53,5</w:t>
            </w:r>
          </w:p>
        </w:tc>
        <w:tc>
          <w:tcPr>
            <w:tcW w:w="0" w:type="auto"/>
          </w:tcPr>
          <w:p w14:paraId="2F5F4161" w14:textId="77777777" w:rsidR="00571AF6" w:rsidRPr="00571AF6" w:rsidRDefault="00B54A0F" w:rsidP="00375746">
            <w:pPr>
              <w:spacing w:before="120"/>
              <w:jc w:val="right"/>
              <w:rPr>
                <w:rFonts w:ascii="Times New Roman" w:hAnsi="Times New Roman" w:cs="Times New Roman"/>
                <w:sz w:val="18"/>
                <w:szCs w:val="18"/>
              </w:rPr>
            </w:pPr>
            <w:r>
              <w:rPr>
                <w:rFonts w:ascii="Times New Roman" w:hAnsi="Times New Roman" w:cs="Times New Roman"/>
                <w:sz w:val="18"/>
                <w:szCs w:val="18"/>
              </w:rPr>
              <w:t>53,4</w:t>
            </w:r>
          </w:p>
        </w:tc>
      </w:tr>
      <w:tr w:rsidR="00571AF6" w14:paraId="4E0EC54D" w14:textId="77777777" w:rsidTr="006350E7">
        <w:trPr>
          <w:trHeight w:val="465"/>
          <w:jc w:val="center"/>
        </w:trPr>
        <w:tc>
          <w:tcPr>
            <w:tcW w:w="0" w:type="auto"/>
          </w:tcPr>
          <w:p w14:paraId="066DC89C" w14:textId="77777777" w:rsidR="00571AF6" w:rsidRPr="00571AF6" w:rsidRDefault="00571AF6" w:rsidP="00375746">
            <w:pPr>
              <w:spacing w:before="120"/>
              <w:jc w:val="both"/>
              <w:rPr>
                <w:rFonts w:ascii="Times New Roman" w:hAnsi="Times New Roman" w:cs="Times New Roman"/>
                <w:sz w:val="18"/>
                <w:szCs w:val="18"/>
              </w:rPr>
            </w:pPr>
            <w:r w:rsidRPr="00571AF6">
              <w:rPr>
                <w:rFonts w:ascii="Times New Roman" w:hAnsi="Times New Roman" w:cs="Times New Roman"/>
                <w:sz w:val="18"/>
                <w:szCs w:val="18"/>
              </w:rPr>
              <w:t>F статистика</w:t>
            </w:r>
          </w:p>
        </w:tc>
        <w:tc>
          <w:tcPr>
            <w:tcW w:w="0" w:type="auto"/>
          </w:tcPr>
          <w:p w14:paraId="3CB5AEA9" w14:textId="77777777" w:rsidR="00571AF6" w:rsidRPr="00571AF6" w:rsidRDefault="007F6148" w:rsidP="00375746">
            <w:pPr>
              <w:spacing w:before="120"/>
              <w:jc w:val="right"/>
              <w:rPr>
                <w:rFonts w:ascii="Times New Roman" w:hAnsi="Times New Roman" w:cs="Times New Roman"/>
                <w:sz w:val="18"/>
                <w:szCs w:val="18"/>
              </w:rPr>
            </w:pPr>
            <w:r>
              <w:rPr>
                <w:rFonts w:ascii="Times New Roman" w:hAnsi="Times New Roman" w:cs="Times New Roman"/>
                <w:sz w:val="18"/>
                <w:szCs w:val="18"/>
              </w:rPr>
              <w:t>84,571</w:t>
            </w:r>
          </w:p>
        </w:tc>
        <w:tc>
          <w:tcPr>
            <w:tcW w:w="0" w:type="auto"/>
          </w:tcPr>
          <w:p w14:paraId="20FA66C2" w14:textId="77777777" w:rsidR="00571AF6" w:rsidRPr="00571AF6" w:rsidRDefault="00571AF6" w:rsidP="00375746">
            <w:pPr>
              <w:spacing w:before="120"/>
              <w:jc w:val="right"/>
              <w:rPr>
                <w:rFonts w:ascii="Times New Roman" w:hAnsi="Times New Roman" w:cs="Times New Roman"/>
                <w:sz w:val="18"/>
                <w:szCs w:val="18"/>
              </w:rPr>
            </w:pPr>
            <w:r w:rsidRPr="00571AF6">
              <w:rPr>
                <w:rFonts w:ascii="Times New Roman" w:hAnsi="Times New Roman" w:cs="Times New Roman"/>
                <w:sz w:val="18"/>
                <w:szCs w:val="18"/>
              </w:rPr>
              <w:t>136,586</w:t>
            </w:r>
          </w:p>
        </w:tc>
        <w:tc>
          <w:tcPr>
            <w:tcW w:w="0" w:type="auto"/>
          </w:tcPr>
          <w:p w14:paraId="4144E064" w14:textId="77777777" w:rsidR="00571AF6" w:rsidRPr="00571AF6" w:rsidRDefault="00571AF6" w:rsidP="00375746">
            <w:pPr>
              <w:spacing w:before="120"/>
              <w:jc w:val="right"/>
              <w:rPr>
                <w:rFonts w:ascii="Times New Roman" w:hAnsi="Times New Roman" w:cs="Times New Roman"/>
                <w:sz w:val="18"/>
                <w:szCs w:val="18"/>
              </w:rPr>
            </w:pPr>
            <w:r w:rsidRPr="00571AF6">
              <w:rPr>
                <w:rFonts w:ascii="Times New Roman" w:hAnsi="Times New Roman" w:cs="Times New Roman"/>
                <w:sz w:val="18"/>
                <w:szCs w:val="18"/>
              </w:rPr>
              <w:t>205,540</w:t>
            </w:r>
          </w:p>
        </w:tc>
        <w:tc>
          <w:tcPr>
            <w:tcW w:w="0" w:type="auto"/>
          </w:tcPr>
          <w:p w14:paraId="0A6133D9" w14:textId="77777777" w:rsidR="00571AF6" w:rsidRPr="00571AF6" w:rsidRDefault="00571AF6" w:rsidP="00375746">
            <w:pPr>
              <w:spacing w:before="120"/>
              <w:jc w:val="right"/>
              <w:rPr>
                <w:rFonts w:ascii="Times New Roman" w:hAnsi="Times New Roman" w:cs="Times New Roman"/>
                <w:sz w:val="18"/>
                <w:szCs w:val="18"/>
              </w:rPr>
            </w:pPr>
            <w:r w:rsidRPr="00571AF6">
              <w:rPr>
                <w:rFonts w:ascii="Times New Roman" w:hAnsi="Times New Roman" w:cs="Times New Roman"/>
                <w:sz w:val="18"/>
                <w:szCs w:val="18"/>
              </w:rPr>
              <w:t>286,486</w:t>
            </w:r>
          </w:p>
        </w:tc>
      </w:tr>
    </w:tbl>
    <w:p w14:paraId="27B40107" w14:textId="77777777" w:rsidR="00C75EF1" w:rsidRDefault="00C75EF1" w:rsidP="00C75EF1">
      <w:pPr>
        <w:jc w:val="both"/>
        <w:rPr>
          <w:rFonts w:ascii="Times New Roman" w:hAnsi="Times New Roman" w:cs="Times New Roman"/>
        </w:rPr>
      </w:pPr>
      <w:r>
        <w:rPr>
          <w:rFonts w:ascii="Times New Roman" w:hAnsi="Times New Roman" w:cs="Times New Roman"/>
        </w:rPr>
        <w:t xml:space="preserve">Извор: </w:t>
      </w:r>
      <w:r w:rsidRPr="00C75EF1">
        <w:rPr>
          <w:rFonts w:ascii="Times New Roman" w:hAnsi="Times New Roman" w:cs="Times New Roman"/>
        </w:rPr>
        <w:t>Калкулација аутора на основу SPSS-а</w:t>
      </w:r>
    </w:p>
    <w:p w14:paraId="3F982C28" w14:textId="77777777" w:rsidR="00141594" w:rsidRPr="009C77B0" w:rsidRDefault="00141594" w:rsidP="009C77B0">
      <w:pPr>
        <w:jc w:val="both"/>
        <w:rPr>
          <w:rFonts w:ascii="Times New Roman" w:hAnsi="Times New Roman" w:cs="Times New Roman"/>
        </w:rPr>
      </w:pPr>
    </w:p>
    <w:p w14:paraId="4BE2C05D" w14:textId="77777777" w:rsidR="00196BCB" w:rsidRDefault="00C44292" w:rsidP="00D842FD">
      <w:pPr>
        <w:jc w:val="both"/>
        <w:rPr>
          <w:rFonts w:ascii="Times New Roman" w:hAnsi="Times New Roman" w:cs="Times New Roman"/>
        </w:rPr>
      </w:pPr>
      <w:r w:rsidRPr="009C77B0">
        <w:rPr>
          <w:rFonts w:ascii="Times New Roman" w:hAnsi="Times New Roman" w:cs="Times New Roman"/>
        </w:rPr>
        <w:t>У првом анализираном моделу F статистика је износила</w:t>
      </w:r>
      <w:r w:rsidR="00185314" w:rsidRPr="009C77B0">
        <w:rPr>
          <w:rFonts w:ascii="Times New Roman" w:hAnsi="Times New Roman" w:cs="Times New Roman"/>
        </w:rPr>
        <w:t xml:space="preserve"> 136,586</w:t>
      </w:r>
      <w:r w:rsidRPr="009C77B0">
        <w:rPr>
          <w:rFonts w:ascii="Times New Roman" w:hAnsi="Times New Roman" w:cs="Times New Roman"/>
        </w:rPr>
        <w:t>, у другом</w:t>
      </w:r>
      <w:r w:rsidR="00185314" w:rsidRPr="009C77B0">
        <w:rPr>
          <w:rFonts w:ascii="Times New Roman" w:hAnsi="Times New Roman" w:cs="Times New Roman"/>
        </w:rPr>
        <w:t xml:space="preserve"> 205,540</w:t>
      </w:r>
      <w:r w:rsidRPr="009C77B0">
        <w:rPr>
          <w:rFonts w:ascii="Times New Roman" w:hAnsi="Times New Roman" w:cs="Times New Roman"/>
        </w:rPr>
        <w:t>, док у последњем</w:t>
      </w:r>
      <w:r w:rsidR="00EF256C" w:rsidRPr="009C77B0">
        <w:rPr>
          <w:rFonts w:ascii="Times New Roman" w:hAnsi="Times New Roman" w:cs="Times New Roman"/>
        </w:rPr>
        <w:t xml:space="preserve"> 286,486</w:t>
      </w:r>
      <w:r w:rsidR="00ED309A" w:rsidRPr="009C77B0">
        <w:rPr>
          <w:rFonts w:ascii="Times New Roman" w:hAnsi="Times New Roman" w:cs="Times New Roman"/>
        </w:rPr>
        <w:t xml:space="preserve">. На нивоу значајности од 5%, </w:t>
      </w:r>
      <w:r w:rsidR="00EF256C" w:rsidRPr="009C77B0">
        <w:rPr>
          <w:rFonts w:ascii="Times New Roman" w:hAnsi="Times New Roman" w:cs="Times New Roman"/>
        </w:rPr>
        <w:t>p вредно</w:t>
      </w:r>
      <w:r w:rsidR="00ED309A" w:rsidRPr="009C77B0">
        <w:rPr>
          <w:rFonts w:ascii="Times New Roman" w:hAnsi="Times New Roman" w:cs="Times New Roman"/>
        </w:rPr>
        <w:t>ст је 0, што значи да је F статистика значајна.</w:t>
      </w:r>
      <w:r w:rsidR="009A1003" w:rsidRPr="009C77B0">
        <w:rPr>
          <w:rFonts w:ascii="Times New Roman" w:hAnsi="Times New Roman" w:cs="Times New Roman"/>
        </w:rPr>
        <w:t xml:space="preserve"> То нам говори да модел регресије објашњава значајан део варијансе зависне варијабле, а да се то не може приписати само случајности. </w:t>
      </w:r>
      <w:r w:rsidR="00AC56CE" w:rsidRPr="00AC56CE">
        <w:rPr>
          <w:rFonts w:ascii="Times New Roman" w:hAnsi="Times New Roman" w:cs="Times New Roman"/>
        </w:rPr>
        <w:t>Ови резултати указују да тржишни индекс није довољан као једини фактор за предвиђање кретања приноса конкретних акција, већ да је потребно узети у обзир и друге релевантне факторе како би се боље разумео њихов потенцијални утицај, а што може бити корисно за инвеститоре и аналитичаре у доношењу одлука.</w:t>
      </w:r>
      <w:r w:rsidR="00AC56CE">
        <w:rPr>
          <w:rFonts w:ascii="Times New Roman" w:hAnsi="Times New Roman" w:cs="Times New Roman"/>
        </w:rPr>
        <w:t xml:space="preserve"> </w:t>
      </w:r>
      <w:r w:rsidR="009A1003" w:rsidRPr="009C77B0">
        <w:rPr>
          <w:rFonts w:ascii="Times New Roman" w:hAnsi="Times New Roman" w:cs="Times New Roman"/>
        </w:rPr>
        <w:t xml:space="preserve">С тим у вези, </w:t>
      </w:r>
      <w:bookmarkStart w:id="32" w:name="_Hlk162458416"/>
      <w:r w:rsidR="009A1003" w:rsidRPr="009C77B0">
        <w:rPr>
          <w:rFonts w:ascii="Times New Roman" w:hAnsi="Times New Roman" w:cs="Times New Roman"/>
        </w:rPr>
        <w:t>постигли смо да можемо да објаснимо већи проценат варијабилности CAT акција него користећи само тржишни индекс SPY</w:t>
      </w:r>
      <w:r w:rsidR="00F5350E">
        <w:rPr>
          <w:rFonts w:ascii="Times New Roman" w:hAnsi="Times New Roman" w:cs="Times New Roman"/>
        </w:rPr>
        <w:t>,</w:t>
      </w:r>
      <w:r w:rsidR="007F6148">
        <w:rPr>
          <w:rFonts w:ascii="Times New Roman" w:hAnsi="Times New Roman" w:cs="Times New Roman"/>
        </w:rPr>
        <w:t xml:space="preserve"> који смо посматрали као бенчмарк модел</w:t>
      </w:r>
      <w:r w:rsidR="009A1003" w:rsidRPr="009C77B0">
        <w:rPr>
          <w:rFonts w:ascii="Times New Roman" w:hAnsi="Times New Roman" w:cs="Times New Roman"/>
        </w:rPr>
        <w:t>.</w:t>
      </w:r>
      <w:bookmarkEnd w:id="25"/>
      <w:r w:rsidR="00F5350E">
        <w:rPr>
          <w:rFonts w:ascii="Times New Roman" w:hAnsi="Times New Roman" w:cs="Times New Roman"/>
        </w:rPr>
        <w:t xml:space="preserve"> </w:t>
      </w:r>
    </w:p>
    <w:p w14:paraId="54FA94B6" w14:textId="6716EFB4" w:rsidR="00A33A21" w:rsidRDefault="00A33A21" w:rsidP="00D842FD">
      <w:pPr>
        <w:jc w:val="both"/>
        <w:rPr>
          <w:rFonts w:ascii="Times New Roman" w:hAnsi="Times New Roman" w:cs="Times New Roman"/>
        </w:rPr>
      </w:pPr>
      <w:r>
        <w:rPr>
          <w:rFonts w:ascii="Times New Roman" w:hAnsi="Times New Roman" w:cs="Times New Roman"/>
        </w:rPr>
        <w:t xml:space="preserve">У претходном истраживању </w:t>
      </w:r>
      <w:r w:rsidR="00FD4279">
        <w:rPr>
          <w:rFonts w:ascii="Times New Roman" w:hAnsi="Times New Roman" w:cs="Times New Roman"/>
        </w:rPr>
        <w:t>тржишни портфолио објашњава нешто мање од 46% варијабилности приноса, док укључивањем у модел кретање цене бакра</w:t>
      </w:r>
      <w:r w:rsidR="00A2211D">
        <w:rPr>
          <w:rFonts w:ascii="Times New Roman" w:hAnsi="Times New Roman" w:cs="Times New Roman"/>
        </w:rPr>
        <w:t xml:space="preserve"> (SCCO)</w:t>
      </w:r>
      <w:r w:rsidR="00FD4279">
        <w:rPr>
          <w:rFonts w:ascii="Times New Roman" w:hAnsi="Times New Roman" w:cs="Times New Roman"/>
        </w:rPr>
        <w:t xml:space="preserve"> и челика </w:t>
      </w:r>
      <w:r w:rsidR="00A2211D">
        <w:rPr>
          <w:rFonts w:ascii="Times New Roman" w:hAnsi="Times New Roman" w:cs="Times New Roman"/>
        </w:rPr>
        <w:t xml:space="preserve"> (STLD) </w:t>
      </w:r>
      <w:r w:rsidR="00FD4279">
        <w:rPr>
          <w:rFonts w:ascii="Times New Roman" w:hAnsi="Times New Roman" w:cs="Times New Roman"/>
        </w:rPr>
        <w:t xml:space="preserve">вредност коефицијента детерминације износи </w:t>
      </w:r>
      <w:r w:rsidR="0011525C">
        <w:rPr>
          <w:rFonts w:ascii="Times New Roman" w:hAnsi="Times New Roman" w:cs="Times New Roman"/>
        </w:rPr>
        <w:t xml:space="preserve">око </w:t>
      </w:r>
      <w:r w:rsidR="00FD4279">
        <w:rPr>
          <w:rFonts w:ascii="Times New Roman" w:hAnsi="Times New Roman" w:cs="Times New Roman"/>
        </w:rPr>
        <w:t xml:space="preserve">51%. </w:t>
      </w:r>
      <w:r w:rsidR="00225011">
        <w:rPr>
          <w:rFonts w:ascii="Times New Roman" w:hAnsi="Times New Roman" w:cs="Times New Roman"/>
        </w:rPr>
        <w:t>Р</w:t>
      </w:r>
      <w:r w:rsidR="00717376">
        <w:rPr>
          <w:rFonts w:ascii="Times New Roman" w:hAnsi="Times New Roman" w:cs="Times New Roman"/>
        </w:rPr>
        <w:t>езултати</w:t>
      </w:r>
      <w:r w:rsidR="00225011">
        <w:rPr>
          <w:rFonts w:ascii="Times New Roman" w:hAnsi="Times New Roman" w:cs="Times New Roman"/>
        </w:rPr>
        <w:t xml:space="preserve"> нашег истраживања</w:t>
      </w:r>
      <w:r w:rsidR="00717376">
        <w:rPr>
          <w:rFonts w:ascii="Times New Roman" w:hAnsi="Times New Roman" w:cs="Times New Roman"/>
        </w:rPr>
        <w:t xml:space="preserve"> (на другом временском интервалу) потврђују претходно истраживање да тржишни портфолио објашњава значајан проценат варијабилности приноса Caterpillar-ових акција. Такође, </w:t>
      </w:r>
      <w:r w:rsidR="00225011">
        <w:rPr>
          <w:rFonts w:ascii="Times New Roman" w:hAnsi="Times New Roman" w:cs="Times New Roman"/>
        </w:rPr>
        <w:t xml:space="preserve">кретање приноса бакра и челика имају статистички значајн утицај на кретање приноса CAT акција, чиме је доказана X2. </w:t>
      </w:r>
      <w:r w:rsidR="00FD4279">
        <w:rPr>
          <w:rFonts w:ascii="Times New Roman" w:hAnsi="Times New Roman" w:cs="Times New Roman"/>
        </w:rPr>
        <w:t>Резултати су показали да су п</w:t>
      </w:r>
      <w:r w:rsidR="00FD4279" w:rsidRPr="00FD4279">
        <w:rPr>
          <w:rFonts w:ascii="Times New Roman" w:hAnsi="Times New Roman" w:cs="Times New Roman"/>
        </w:rPr>
        <w:t>риноси CAT акција ниско корелисани са златом</w:t>
      </w:r>
      <w:r w:rsidR="00FD4279">
        <w:rPr>
          <w:rFonts w:ascii="Times New Roman" w:hAnsi="Times New Roman" w:cs="Times New Roman"/>
        </w:rPr>
        <w:t xml:space="preserve"> (-0,067)</w:t>
      </w:r>
      <w:r w:rsidR="00FD4279" w:rsidRPr="00FD4279">
        <w:rPr>
          <w:rFonts w:ascii="Times New Roman" w:hAnsi="Times New Roman" w:cs="Times New Roman"/>
        </w:rPr>
        <w:t xml:space="preserve"> и нафтом</w:t>
      </w:r>
      <w:r w:rsidR="00FD4279">
        <w:rPr>
          <w:rFonts w:ascii="Times New Roman" w:hAnsi="Times New Roman" w:cs="Times New Roman"/>
        </w:rPr>
        <w:t xml:space="preserve"> (0,126), што је слично са нашим резултати</w:t>
      </w:r>
      <w:r w:rsidR="00A2211D">
        <w:rPr>
          <w:rFonts w:ascii="Times New Roman" w:hAnsi="Times New Roman" w:cs="Times New Roman"/>
        </w:rPr>
        <w:t>ма, осим што је код нас установљена инверзна ниска корелација са нафтом, а директна ниска корелација са златом, те, свакако, ове две променљиве нису даље разматране у моделима.</w:t>
      </w:r>
      <w:r w:rsidR="00CB7E87">
        <w:rPr>
          <w:rFonts w:ascii="Times New Roman" w:hAnsi="Times New Roman" w:cs="Times New Roman"/>
        </w:rPr>
        <w:t xml:space="preserve"> </w:t>
      </w:r>
      <w:r w:rsidR="00225011">
        <w:rPr>
          <w:rFonts w:ascii="Times New Roman" w:hAnsi="Times New Roman" w:cs="Times New Roman"/>
        </w:rPr>
        <w:t>Даље, у</w:t>
      </w:r>
      <w:r w:rsidR="00CB7E87">
        <w:rPr>
          <w:rFonts w:ascii="Times New Roman" w:hAnsi="Times New Roman" w:cs="Times New Roman"/>
        </w:rPr>
        <w:t>кључивањем додатних детерминанти које су директно повезане са компанијом, у нашем истраживању смо добили да и PKB ETF фонд као системска варијабла утиче на пословање Caterpillar компаније, као и алуминијум као значајна сировина која се користи у производњи.</w:t>
      </w:r>
      <w:r w:rsidR="00717376">
        <w:rPr>
          <w:rFonts w:ascii="Times New Roman" w:hAnsi="Times New Roman" w:cs="Times New Roman"/>
        </w:rPr>
        <w:t xml:space="preserve"> </w:t>
      </w:r>
      <w:r w:rsidR="00225011">
        <w:rPr>
          <w:rFonts w:ascii="Times New Roman" w:hAnsi="Times New Roman" w:cs="Times New Roman"/>
        </w:rPr>
        <w:t>Ови</w:t>
      </w:r>
      <w:r w:rsidR="00717376">
        <w:rPr>
          <w:rFonts w:ascii="Times New Roman" w:hAnsi="Times New Roman" w:cs="Times New Roman"/>
        </w:rPr>
        <w:t xml:space="preserve"> резулати </w:t>
      </w:r>
      <w:r w:rsidR="00225011">
        <w:rPr>
          <w:rFonts w:ascii="Times New Roman" w:hAnsi="Times New Roman" w:cs="Times New Roman"/>
        </w:rPr>
        <w:t>у</w:t>
      </w:r>
      <w:r w:rsidR="00717376">
        <w:rPr>
          <w:rFonts w:ascii="Times New Roman" w:hAnsi="Times New Roman" w:cs="Times New Roman"/>
        </w:rPr>
        <w:t xml:space="preserve">казују да инвеститори приликом доношења одлука треба да узму у обзир не само </w:t>
      </w:r>
      <w:r w:rsidR="00717376" w:rsidRPr="00717376">
        <w:rPr>
          <w:rFonts w:ascii="Times New Roman" w:hAnsi="Times New Roman" w:cs="Times New Roman"/>
        </w:rPr>
        <w:t>макроекономске факторе, већ и перформансе акција компанија у његовом ланцу снабдевања</w:t>
      </w:r>
      <w:r w:rsidR="00225011">
        <w:rPr>
          <w:rFonts w:ascii="Times New Roman" w:hAnsi="Times New Roman" w:cs="Times New Roman"/>
        </w:rPr>
        <w:t xml:space="preserve">, те је доказана претпоставка да модел треба проширити како би у будућности што прецизније предвидели </w:t>
      </w:r>
      <w:r w:rsidR="00225011" w:rsidRPr="00225011">
        <w:rPr>
          <w:rFonts w:ascii="Times New Roman" w:hAnsi="Times New Roman" w:cs="Times New Roman"/>
        </w:rPr>
        <w:t>будуће кретање приноса CAT акција</w:t>
      </w:r>
      <w:r w:rsidR="00225011">
        <w:rPr>
          <w:rFonts w:ascii="Times New Roman" w:hAnsi="Times New Roman" w:cs="Times New Roman"/>
        </w:rPr>
        <w:t>.</w:t>
      </w:r>
      <w:r w:rsidR="004B4BD5" w:rsidRPr="004B4BD5">
        <w:t xml:space="preserve"> </w:t>
      </w:r>
      <w:r w:rsidR="004B4BD5">
        <w:rPr>
          <w:rFonts w:ascii="Times New Roman" w:hAnsi="Times New Roman" w:cs="Times New Roman"/>
        </w:rPr>
        <w:t xml:space="preserve">Закључци до којих смо дошли потврђују наводе из прегледа литературе да </w:t>
      </w:r>
      <w:r w:rsidR="00DD06A4">
        <w:rPr>
          <w:rFonts w:ascii="Times New Roman" w:hAnsi="Times New Roman" w:cs="Times New Roman"/>
        </w:rPr>
        <w:t xml:space="preserve">се </w:t>
      </w:r>
      <w:r w:rsidR="004B4BD5" w:rsidRPr="004B4BD5">
        <w:rPr>
          <w:rFonts w:ascii="Times New Roman" w:hAnsi="Times New Roman" w:cs="Times New Roman"/>
        </w:rPr>
        <w:t>вишеструк</w:t>
      </w:r>
      <w:r w:rsidR="004B4BD5">
        <w:rPr>
          <w:rFonts w:ascii="Times New Roman" w:hAnsi="Times New Roman" w:cs="Times New Roman"/>
        </w:rPr>
        <w:t>а</w:t>
      </w:r>
      <w:r w:rsidR="004B4BD5" w:rsidRPr="004B4BD5">
        <w:rPr>
          <w:rFonts w:ascii="Times New Roman" w:hAnsi="Times New Roman" w:cs="Times New Roman"/>
        </w:rPr>
        <w:t xml:space="preserve"> линеарн</w:t>
      </w:r>
      <w:r w:rsidR="004B4BD5">
        <w:rPr>
          <w:rFonts w:ascii="Times New Roman" w:hAnsi="Times New Roman" w:cs="Times New Roman"/>
        </w:rPr>
        <w:t>а</w:t>
      </w:r>
      <w:r w:rsidR="004B4BD5" w:rsidRPr="004B4BD5">
        <w:rPr>
          <w:rFonts w:ascii="Times New Roman" w:hAnsi="Times New Roman" w:cs="Times New Roman"/>
        </w:rPr>
        <w:t xml:space="preserve"> регресиј</w:t>
      </w:r>
      <w:r w:rsidR="004B4BD5">
        <w:rPr>
          <w:rFonts w:ascii="Times New Roman" w:hAnsi="Times New Roman" w:cs="Times New Roman"/>
        </w:rPr>
        <w:t>а примењује</w:t>
      </w:r>
      <w:r w:rsidR="004B4BD5" w:rsidRPr="004B4BD5">
        <w:rPr>
          <w:rFonts w:ascii="Times New Roman" w:hAnsi="Times New Roman" w:cs="Times New Roman"/>
        </w:rPr>
        <w:t xml:space="preserve"> да би</w:t>
      </w:r>
      <w:r w:rsidR="004B4BD5">
        <w:rPr>
          <w:rFonts w:ascii="Times New Roman" w:hAnsi="Times New Roman" w:cs="Times New Roman"/>
        </w:rPr>
        <w:t xml:space="preserve"> се</w:t>
      </w:r>
      <w:r w:rsidR="004B4BD5" w:rsidRPr="004B4BD5">
        <w:rPr>
          <w:rFonts w:ascii="Times New Roman" w:hAnsi="Times New Roman" w:cs="Times New Roman"/>
        </w:rPr>
        <w:t xml:space="preserve"> објаснил</w:t>
      </w:r>
      <w:r w:rsidR="004B4BD5">
        <w:rPr>
          <w:rFonts w:ascii="Times New Roman" w:hAnsi="Times New Roman" w:cs="Times New Roman"/>
        </w:rPr>
        <w:t>е</w:t>
      </w:r>
      <w:r w:rsidR="004B4BD5" w:rsidRPr="004B4BD5">
        <w:rPr>
          <w:rFonts w:ascii="Times New Roman" w:hAnsi="Times New Roman" w:cs="Times New Roman"/>
        </w:rPr>
        <w:t xml:space="preserve"> промене у цени акција</w:t>
      </w:r>
      <w:r w:rsidR="00DD06A4" w:rsidRPr="00DD06A4">
        <w:rPr>
          <w:rFonts w:ascii="Times New Roman" w:hAnsi="Times New Roman" w:cs="Times New Roman"/>
        </w:rPr>
        <w:t xml:space="preserve">, односно да се приноси на акцијама могу донекле предвидети на основу историјских података, упркос значајним економетријским </w:t>
      </w:r>
      <w:r w:rsidR="00DD06A4">
        <w:rPr>
          <w:rFonts w:ascii="Times New Roman" w:hAnsi="Times New Roman" w:cs="Times New Roman"/>
        </w:rPr>
        <w:t xml:space="preserve">и другим </w:t>
      </w:r>
      <w:r w:rsidR="00DD06A4" w:rsidRPr="00DD06A4">
        <w:rPr>
          <w:rFonts w:ascii="Times New Roman" w:hAnsi="Times New Roman" w:cs="Times New Roman"/>
        </w:rPr>
        <w:t>изазовима</w:t>
      </w:r>
      <w:r w:rsidR="00DD06A4">
        <w:rPr>
          <w:rFonts w:ascii="Times New Roman" w:hAnsi="Times New Roman" w:cs="Times New Roman"/>
        </w:rPr>
        <w:t>.</w:t>
      </w:r>
      <w:r w:rsidR="00855858">
        <w:rPr>
          <w:rFonts w:ascii="Times New Roman" w:hAnsi="Times New Roman" w:cs="Times New Roman"/>
        </w:rPr>
        <w:t xml:space="preserve"> Самим тим је потврђена сврха предиктивне регресије за предвидљивост приноса акција.</w:t>
      </w:r>
    </w:p>
    <w:p w14:paraId="75F6C506" w14:textId="77777777" w:rsidR="00D34882" w:rsidRPr="00DD06A4" w:rsidRDefault="00D34882" w:rsidP="00D842FD">
      <w:pPr>
        <w:jc w:val="both"/>
        <w:rPr>
          <w:rFonts w:ascii="Times New Roman" w:hAnsi="Times New Roman" w:cs="Times New Roman"/>
        </w:rPr>
      </w:pPr>
    </w:p>
    <w:bookmarkEnd w:id="32"/>
    <w:p w14:paraId="119549BD" w14:textId="77777777" w:rsidR="00DE2AC5" w:rsidRDefault="00DE2AC5" w:rsidP="00D842FD">
      <w:pPr>
        <w:jc w:val="both"/>
        <w:rPr>
          <w:rFonts w:ascii="Times New Roman" w:hAnsi="Times New Roman" w:cs="Times New Roman"/>
          <w:b/>
          <w:bCs/>
        </w:rPr>
      </w:pPr>
      <w:r w:rsidRPr="00FA731A">
        <w:rPr>
          <w:rFonts w:ascii="Times New Roman" w:hAnsi="Times New Roman" w:cs="Times New Roman"/>
          <w:b/>
          <w:bCs/>
        </w:rPr>
        <w:t>Закључак</w:t>
      </w:r>
    </w:p>
    <w:p w14:paraId="273A8CF0" w14:textId="77777777" w:rsidR="007A366F" w:rsidRPr="004D1714" w:rsidRDefault="007A366F" w:rsidP="004D1714">
      <w:pPr>
        <w:jc w:val="both"/>
        <w:rPr>
          <w:rFonts w:ascii="Times New Roman" w:hAnsi="Times New Roman" w:cs="Times New Roman"/>
        </w:rPr>
      </w:pPr>
      <w:r w:rsidRPr="007A366F">
        <w:rPr>
          <w:rFonts w:ascii="Times New Roman" w:hAnsi="Times New Roman" w:cs="Times New Roman"/>
        </w:rPr>
        <w:t>Примарна улога тржишта капитала је алокација власништва над капиталом привреде. Уопштено говорећи, идеално је тржиште на којем цене дају тачне сигнале за алокацију ресурса</w:t>
      </w:r>
      <w:r w:rsidR="00856F73">
        <w:rPr>
          <w:rFonts w:ascii="Times New Roman" w:hAnsi="Times New Roman" w:cs="Times New Roman"/>
        </w:rPr>
        <w:t xml:space="preserve">, </w:t>
      </w:r>
      <w:r w:rsidRPr="007A366F">
        <w:rPr>
          <w:rFonts w:ascii="Times New Roman" w:hAnsi="Times New Roman" w:cs="Times New Roman"/>
        </w:rPr>
        <w:t>то јест, тржиште на којем компаније могу доносити одлуке о производњи и улагању, а инвеститори могу да бирају између хартија од вредности које представљају власништво над активностима предузећа у оквиру претпоставка да цене у било ком тренутку у потпуности одражавају све доступне информације. Такво тржиште се назива ефикасно</w:t>
      </w:r>
      <w:r>
        <w:rPr>
          <w:rFonts w:ascii="Times New Roman" w:hAnsi="Times New Roman" w:cs="Times New Roman"/>
        </w:rPr>
        <w:t xml:space="preserve"> (Fama, 1970)</w:t>
      </w:r>
      <w:r w:rsidRPr="007A366F">
        <w:rPr>
          <w:rFonts w:ascii="Times New Roman" w:hAnsi="Times New Roman" w:cs="Times New Roman"/>
        </w:rPr>
        <w:t xml:space="preserve">. </w:t>
      </w:r>
      <w:r w:rsidR="004D1714" w:rsidRPr="004D1714">
        <w:rPr>
          <w:rFonts w:ascii="Times New Roman" w:hAnsi="Times New Roman" w:cs="Times New Roman"/>
        </w:rPr>
        <w:t>Досадашња литература о предвиђању приноса акција се углавном ослањала на популарне економске варијабле као предикторе.</w:t>
      </w:r>
      <w:r w:rsidR="004D1714">
        <w:rPr>
          <w:rFonts w:ascii="Times New Roman" w:hAnsi="Times New Roman" w:cs="Times New Roman"/>
        </w:rPr>
        <w:t xml:space="preserve"> </w:t>
      </w:r>
      <w:r w:rsidR="004D1714" w:rsidRPr="004D1714">
        <w:rPr>
          <w:rFonts w:ascii="Times New Roman" w:hAnsi="Times New Roman" w:cs="Times New Roman"/>
        </w:rPr>
        <w:t>Међутим, постоје и друге варијабле које би могле садржати значајне информације за предвиђање приноса акција, али су до сада добиле мање пажње</w:t>
      </w:r>
      <w:r w:rsidR="004D1714">
        <w:rPr>
          <w:rFonts w:ascii="Times New Roman" w:hAnsi="Times New Roman" w:cs="Times New Roman"/>
        </w:rPr>
        <w:t xml:space="preserve">. </w:t>
      </w:r>
      <w:r w:rsidR="004D1714" w:rsidRPr="004D1714">
        <w:rPr>
          <w:rFonts w:ascii="Times New Roman" w:hAnsi="Times New Roman" w:cs="Times New Roman"/>
        </w:rPr>
        <w:t>Укључивање ових варијабли у моделе предвиђања приноса акција може довести до</w:t>
      </w:r>
      <w:r w:rsidR="004D1714">
        <w:rPr>
          <w:rFonts w:ascii="Times New Roman" w:hAnsi="Times New Roman" w:cs="Times New Roman"/>
        </w:rPr>
        <w:t xml:space="preserve"> п</w:t>
      </w:r>
      <w:r w:rsidR="004D1714" w:rsidRPr="004D1714">
        <w:rPr>
          <w:rFonts w:ascii="Times New Roman" w:hAnsi="Times New Roman" w:cs="Times New Roman"/>
        </w:rPr>
        <w:t>обољша</w:t>
      </w:r>
      <w:r w:rsidR="004D1714">
        <w:rPr>
          <w:rFonts w:ascii="Times New Roman" w:hAnsi="Times New Roman" w:cs="Times New Roman"/>
        </w:rPr>
        <w:t>ња</w:t>
      </w:r>
      <w:r w:rsidR="004D1714" w:rsidRPr="004D1714">
        <w:rPr>
          <w:rFonts w:ascii="Times New Roman" w:hAnsi="Times New Roman" w:cs="Times New Roman"/>
        </w:rPr>
        <w:t xml:space="preserve"> тачности предвиђања</w:t>
      </w:r>
      <w:r w:rsidR="004D1714">
        <w:rPr>
          <w:rFonts w:ascii="Times New Roman" w:hAnsi="Times New Roman" w:cs="Times New Roman"/>
        </w:rPr>
        <w:t>, б</w:t>
      </w:r>
      <w:r w:rsidR="004D1714" w:rsidRPr="004D1714">
        <w:rPr>
          <w:rFonts w:ascii="Times New Roman" w:hAnsi="Times New Roman" w:cs="Times New Roman"/>
        </w:rPr>
        <w:t>ољег разумевања фактора који утичу на приносе акција</w:t>
      </w:r>
      <w:r w:rsidR="004D1714">
        <w:rPr>
          <w:rFonts w:ascii="Times New Roman" w:hAnsi="Times New Roman" w:cs="Times New Roman"/>
        </w:rPr>
        <w:t>, р</w:t>
      </w:r>
      <w:r w:rsidR="004D1714" w:rsidRPr="004D1714">
        <w:rPr>
          <w:rFonts w:ascii="Times New Roman" w:hAnsi="Times New Roman" w:cs="Times New Roman"/>
        </w:rPr>
        <w:t>азвијања нових инвестиционих стратегија</w:t>
      </w:r>
      <w:r w:rsidR="00AA1FEC">
        <w:rPr>
          <w:rFonts w:ascii="Times New Roman" w:hAnsi="Times New Roman" w:cs="Times New Roman"/>
        </w:rPr>
        <w:t xml:space="preserve"> (Dutta, 2012)</w:t>
      </w:r>
      <w:r w:rsidR="004D1714">
        <w:rPr>
          <w:rFonts w:ascii="Times New Roman" w:hAnsi="Times New Roman" w:cs="Times New Roman"/>
        </w:rPr>
        <w:t xml:space="preserve">. </w:t>
      </w:r>
      <w:r w:rsidR="004D1714" w:rsidRPr="004D1714">
        <w:rPr>
          <w:rFonts w:ascii="Times New Roman" w:hAnsi="Times New Roman" w:cs="Times New Roman"/>
        </w:rPr>
        <w:t>Истраживање у овој области је још увек у раној фази, али је показало обећавајуће резултате.</w:t>
      </w:r>
    </w:p>
    <w:p w14:paraId="0C3D8C49" w14:textId="2B74B6E8" w:rsidR="008778B9" w:rsidRPr="005D77C5" w:rsidRDefault="00D47890" w:rsidP="00D842FD">
      <w:pPr>
        <w:jc w:val="both"/>
      </w:pPr>
      <w:r>
        <w:rPr>
          <w:rFonts w:ascii="Times New Roman" w:hAnsi="Times New Roman" w:cs="Times New Roman"/>
        </w:rPr>
        <w:lastRenderedPageBreak/>
        <w:t>У овом раду смо п</w:t>
      </w:r>
      <w:r w:rsidRPr="00D47890">
        <w:rPr>
          <w:rFonts w:ascii="Times New Roman" w:hAnsi="Times New Roman" w:cs="Times New Roman"/>
        </w:rPr>
        <w:t>отврдили да су подаци о временским серијама од значаја због своје продорности у различитим областима, а у економији су драгоцени јер се, између осталог, могу користити за прогнозирање економских показатеља, па и изградњу предиктивних модела.</w:t>
      </w:r>
      <w:r>
        <w:rPr>
          <w:rFonts w:ascii="Times New Roman" w:hAnsi="Times New Roman" w:cs="Times New Roman"/>
        </w:rPr>
        <w:t xml:space="preserve"> </w:t>
      </w:r>
      <w:r w:rsidR="008778B9" w:rsidRPr="00361DFB">
        <w:rPr>
          <w:rFonts w:ascii="Times New Roman" w:hAnsi="Times New Roman" w:cs="Times New Roman"/>
        </w:rPr>
        <w:t xml:space="preserve">У нашем истраживању смо покушали да предвидимо </w:t>
      </w:r>
      <w:bookmarkStart w:id="33" w:name="_Hlk162990207"/>
      <w:r w:rsidR="008778B9" w:rsidRPr="00361DFB">
        <w:rPr>
          <w:rFonts w:ascii="Times New Roman" w:hAnsi="Times New Roman" w:cs="Times New Roman"/>
        </w:rPr>
        <w:t>будуће кретање приноса CAT акција</w:t>
      </w:r>
      <w:r w:rsidR="00E758B8">
        <w:rPr>
          <w:rFonts w:ascii="Times New Roman" w:hAnsi="Times New Roman" w:cs="Times New Roman"/>
        </w:rPr>
        <w:t xml:space="preserve"> </w:t>
      </w:r>
      <w:bookmarkEnd w:id="33"/>
      <w:r w:rsidR="00E758B8">
        <w:rPr>
          <w:rFonts w:ascii="Times New Roman" w:hAnsi="Times New Roman" w:cs="Times New Roman"/>
        </w:rPr>
        <w:t xml:space="preserve">на основу следећих </w:t>
      </w:r>
      <w:r w:rsidR="00AC43BB">
        <w:rPr>
          <w:rFonts w:ascii="Times New Roman" w:hAnsi="Times New Roman" w:cs="Times New Roman"/>
        </w:rPr>
        <w:t>системских варијабли</w:t>
      </w:r>
      <w:r w:rsidR="00E758B8">
        <w:rPr>
          <w:rFonts w:ascii="Times New Roman" w:hAnsi="Times New Roman" w:cs="Times New Roman"/>
        </w:rPr>
        <w:t xml:space="preserve">: тржишни индекс SPY фонд, PKB инвестициони фонд, VIX индекс волатилности, </w:t>
      </w:r>
      <w:r w:rsidR="00AC43BB" w:rsidRPr="00AC43BB">
        <w:rPr>
          <w:rFonts w:ascii="Times New Roman" w:hAnsi="Times New Roman" w:cs="Times New Roman"/>
        </w:rPr>
        <w:t>кретање приноса сирове нафте (CL=F) и злата (GLD</w:t>
      </w:r>
      <w:r w:rsidR="00AC43BB">
        <w:rPr>
          <w:rFonts w:ascii="Times New Roman" w:hAnsi="Times New Roman" w:cs="Times New Roman"/>
        </w:rPr>
        <w:t>)</w:t>
      </w:r>
      <w:r w:rsidR="00E758B8">
        <w:rPr>
          <w:rFonts w:ascii="Times New Roman" w:hAnsi="Times New Roman" w:cs="Times New Roman"/>
        </w:rPr>
        <w:t xml:space="preserve">, као и кретање приноса следећих сировина: </w:t>
      </w:r>
      <w:r w:rsidR="00AC43BB" w:rsidRPr="00AC43BB">
        <w:rPr>
          <w:rFonts w:ascii="Times New Roman" w:hAnsi="Times New Roman" w:cs="Times New Roman"/>
        </w:rPr>
        <w:t>бакра (приноси акција SCCO – Southern Copper Corporation), челика (STLD – Steel Dynamics), гума (BRDCY – Bridgestone Corporation), алуминијума (ALL – The Allstate Corporation), електричне енергије (NEE – NextEra Energy), као и алата, грађевинских производа (приноси акција HD – The Home Depot).</w:t>
      </w:r>
      <w:r w:rsidR="00AC43BB">
        <w:rPr>
          <w:rFonts w:ascii="Times New Roman" w:hAnsi="Times New Roman" w:cs="Times New Roman"/>
        </w:rPr>
        <w:t xml:space="preserve"> </w:t>
      </w:r>
      <w:r w:rsidR="008778B9" w:rsidRPr="00361DFB">
        <w:rPr>
          <w:rFonts w:ascii="Times New Roman" w:hAnsi="Times New Roman" w:cs="Times New Roman"/>
        </w:rPr>
        <w:t>Статистички метод који смо користили јесте вишеструка линеарна регресија</w:t>
      </w:r>
      <w:r w:rsidR="00361DFB" w:rsidRPr="00361DFB">
        <w:rPr>
          <w:rFonts w:ascii="Times New Roman" w:hAnsi="Times New Roman" w:cs="Times New Roman"/>
        </w:rPr>
        <w:t>. Главна сврха овог истраживања је била да покушамо да видимо које то још променљиве објашњавају кретање приноса CAT акција, поред системске компоненте</w:t>
      </w:r>
      <w:r w:rsidR="00E758B8" w:rsidRPr="00E758B8">
        <w:t xml:space="preserve"> </w:t>
      </w:r>
      <w:r w:rsidR="00E758B8" w:rsidRPr="001E4E7B">
        <w:rPr>
          <w:rFonts w:ascii="Times New Roman" w:hAnsi="Times New Roman" w:cs="Times New Roman"/>
        </w:rPr>
        <w:t>SPY</w:t>
      </w:r>
      <w:r w:rsidR="008D7AD1">
        <w:rPr>
          <w:rFonts w:ascii="Times New Roman" w:hAnsi="Times New Roman" w:cs="Times New Roman"/>
          <w:lang w:val="sr-Cyrl-RS"/>
        </w:rPr>
        <w:t xml:space="preserve"> </w:t>
      </w:r>
      <w:r w:rsidR="00361DFB" w:rsidRPr="00BB3A4A">
        <w:rPr>
          <w:rFonts w:ascii="Times New Roman" w:hAnsi="Times New Roman" w:cs="Times New Roman"/>
        </w:rPr>
        <w:t>која објашњава нешто више од 40% варијаб</w:t>
      </w:r>
      <w:r w:rsidR="00361DFB" w:rsidRPr="00361DFB">
        <w:rPr>
          <w:rFonts w:ascii="Times New Roman" w:hAnsi="Times New Roman" w:cs="Times New Roman"/>
        </w:rPr>
        <w:t>илности приноса.</w:t>
      </w:r>
      <w:r w:rsidRPr="00D47890">
        <w:t xml:space="preserve"> </w:t>
      </w:r>
      <w:r w:rsidR="00124243" w:rsidRPr="00487972">
        <w:rPr>
          <w:rFonts w:ascii="Times New Roman" w:hAnsi="Times New Roman" w:cs="Times New Roman"/>
        </w:rPr>
        <w:t>За почетног предиктора као репрезента тржишта смо изабрали SPY</w:t>
      </w:r>
      <w:r w:rsidR="00124243">
        <w:t xml:space="preserve"> </w:t>
      </w:r>
      <w:r w:rsidR="00124243" w:rsidRPr="00124243">
        <w:rPr>
          <w:rFonts w:ascii="Times New Roman" w:hAnsi="Times New Roman" w:cs="Times New Roman"/>
        </w:rPr>
        <w:t>фонд који репликује S&amp;P 500 индекс. Кроз истраживање смо елиминисали VIX индекс као макроекономску варијаблу, будући да SPY директно прати кретање тржишта, док VIX даје увид у тржишна очекивања о томе шта се може десити у будућности са волатилношћу.</w:t>
      </w:r>
      <w:r w:rsidR="00487972">
        <w:rPr>
          <w:rFonts w:ascii="Times New Roman" w:hAnsi="Times New Roman" w:cs="Times New Roman"/>
        </w:rPr>
        <w:t xml:space="preserve"> Другим речима, </w:t>
      </w:r>
      <w:r w:rsidR="00487972" w:rsidRPr="00487972">
        <w:rPr>
          <w:rFonts w:ascii="Times New Roman" w:hAnsi="Times New Roman" w:cs="Times New Roman"/>
        </w:rPr>
        <w:t xml:space="preserve">информације које пружа VIX </w:t>
      </w:r>
      <w:r w:rsidR="00487972">
        <w:rPr>
          <w:rFonts w:ascii="Times New Roman" w:hAnsi="Times New Roman" w:cs="Times New Roman"/>
        </w:rPr>
        <w:t xml:space="preserve">су </w:t>
      </w:r>
      <w:r w:rsidR="00487972" w:rsidRPr="00487972">
        <w:rPr>
          <w:rFonts w:ascii="Times New Roman" w:hAnsi="Times New Roman" w:cs="Times New Roman"/>
        </w:rPr>
        <w:t>већ садржане у променама вредности SPY фонда</w:t>
      </w:r>
      <w:r w:rsidR="00487972">
        <w:rPr>
          <w:rFonts w:ascii="Times New Roman" w:hAnsi="Times New Roman" w:cs="Times New Roman"/>
        </w:rPr>
        <w:t>. Истраживање бисмо могли да поновимо узимањем VIX као почетног предиктора</w:t>
      </w:r>
      <w:r w:rsidR="002A7EAE">
        <w:rPr>
          <w:rFonts w:ascii="Times New Roman" w:hAnsi="Times New Roman" w:cs="Times New Roman"/>
        </w:rPr>
        <w:t xml:space="preserve"> и добијени</w:t>
      </w:r>
      <w:r w:rsidR="00487972">
        <w:rPr>
          <w:rFonts w:ascii="Times New Roman" w:hAnsi="Times New Roman" w:cs="Times New Roman"/>
        </w:rPr>
        <w:t xml:space="preserve"> </w:t>
      </w:r>
      <w:r w:rsidR="002A7EAE">
        <w:rPr>
          <w:rFonts w:ascii="Times New Roman" w:hAnsi="Times New Roman" w:cs="Times New Roman"/>
        </w:rPr>
        <w:t>р</w:t>
      </w:r>
      <w:r w:rsidR="00487972">
        <w:rPr>
          <w:rFonts w:ascii="Times New Roman" w:hAnsi="Times New Roman" w:cs="Times New Roman"/>
        </w:rPr>
        <w:t>езултати би скоро били идентични.</w:t>
      </w:r>
      <w:r w:rsidR="00487972" w:rsidRPr="00487972">
        <w:rPr>
          <w:rFonts w:ascii="Times New Roman" w:hAnsi="Times New Roman" w:cs="Times New Roman"/>
        </w:rPr>
        <w:t xml:space="preserve"> </w:t>
      </w:r>
      <w:r w:rsidR="00856F73">
        <w:rPr>
          <w:rFonts w:ascii="Times New Roman" w:hAnsi="Times New Roman" w:cs="Times New Roman"/>
        </w:rPr>
        <w:t>Осим тога, д</w:t>
      </w:r>
      <w:r w:rsidR="00C754A0" w:rsidRPr="00124243">
        <w:rPr>
          <w:rFonts w:ascii="Times New Roman" w:hAnsi="Times New Roman" w:cs="Times New Roman"/>
        </w:rPr>
        <w:t>оказали смо да</w:t>
      </w:r>
      <w:r w:rsidR="00C754A0" w:rsidRPr="00C754A0">
        <w:rPr>
          <w:rFonts w:ascii="Times New Roman" w:hAnsi="Times New Roman" w:cs="Times New Roman"/>
        </w:rPr>
        <w:t xml:space="preserve"> перформансе акција</w:t>
      </w:r>
      <w:r w:rsidR="00840FE7">
        <w:rPr>
          <w:rFonts w:ascii="Times New Roman" w:hAnsi="Times New Roman" w:cs="Times New Roman"/>
        </w:rPr>
        <w:t xml:space="preserve"> следећих</w:t>
      </w:r>
      <w:r w:rsidR="00C754A0" w:rsidRPr="00C754A0">
        <w:rPr>
          <w:rFonts w:ascii="Times New Roman" w:hAnsi="Times New Roman" w:cs="Times New Roman"/>
        </w:rPr>
        <w:t xml:space="preserve"> сировина</w:t>
      </w:r>
      <w:r w:rsidR="00840FE7">
        <w:rPr>
          <w:rFonts w:ascii="Times New Roman" w:hAnsi="Times New Roman" w:cs="Times New Roman"/>
        </w:rPr>
        <w:t>:</w:t>
      </w:r>
      <w:r w:rsidR="00C754A0" w:rsidRPr="00C754A0">
        <w:rPr>
          <w:rFonts w:ascii="Times New Roman" w:hAnsi="Times New Roman" w:cs="Times New Roman"/>
        </w:rPr>
        <w:t xml:space="preserve"> </w:t>
      </w:r>
      <w:r w:rsidR="00FA1735">
        <w:rPr>
          <w:rFonts w:ascii="Times New Roman" w:hAnsi="Times New Roman" w:cs="Times New Roman"/>
        </w:rPr>
        <w:t xml:space="preserve">бакра, челика и алуминијума, </w:t>
      </w:r>
      <w:r w:rsidR="00C754A0" w:rsidRPr="00C754A0">
        <w:rPr>
          <w:rFonts w:ascii="Times New Roman" w:hAnsi="Times New Roman" w:cs="Times New Roman"/>
        </w:rPr>
        <w:t xml:space="preserve">које се користе у производњи имају исти утицај на кретање </w:t>
      </w:r>
      <w:r w:rsidR="00C754A0">
        <w:rPr>
          <w:rFonts w:ascii="Times New Roman" w:hAnsi="Times New Roman" w:cs="Times New Roman"/>
        </w:rPr>
        <w:t xml:space="preserve">цена, односно приноса </w:t>
      </w:r>
      <w:r w:rsidR="00C754A0" w:rsidRPr="00C754A0">
        <w:rPr>
          <w:rFonts w:ascii="Times New Roman" w:hAnsi="Times New Roman" w:cs="Times New Roman"/>
        </w:rPr>
        <w:t>CAT акција, као и системске компоненте</w:t>
      </w:r>
      <w:r w:rsidR="00FA1735">
        <w:rPr>
          <w:rFonts w:ascii="Times New Roman" w:hAnsi="Times New Roman" w:cs="Times New Roman"/>
        </w:rPr>
        <w:t xml:space="preserve"> SPY и PKB инвестициони фонд</w:t>
      </w:r>
      <w:r w:rsidR="00C754A0" w:rsidRPr="00C754A0">
        <w:rPr>
          <w:rFonts w:ascii="Times New Roman" w:hAnsi="Times New Roman" w:cs="Times New Roman"/>
        </w:rPr>
        <w:t>.</w:t>
      </w:r>
      <w:r w:rsidR="006A04EA">
        <w:rPr>
          <w:rFonts w:ascii="Times New Roman" w:hAnsi="Times New Roman" w:cs="Times New Roman"/>
        </w:rPr>
        <w:t xml:space="preserve"> Наставак овог истраживања може </w:t>
      </w:r>
      <w:r w:rsidR="00B90818">
        <w:rPr>
          <w:rFonts w:ascii="Times New Roman" w:hAnsi="Times New Roman" w:cs="Times New Roman"/>
        </w:rPr>
        <w:t>додатно објаснити везу између перформ</w:t>
      </w:r>
      <w:r w:rsidR="00856F73">
        <w:rPr>
          <w:rFonts w:ascii="Times New Roman" w:hAnsi="Times New Roman" w:cs="Times New Roman"/>
        </w:rPr>
        <w:t>а</w:t>
      </w:r>
      <w:r w:rsidR="00B90818">
        <w:rPr>
          <w:rFonts w:ascii="Times New Roman" w:hAnsi="Times New Roman" w:cs="Times New Roman"/>
        </w:rPr>
        <w:t>нси акција, економских индикатора и других фактор</w:t>
      </w:r>
      <w:r w:rsidR="00DF4AC2">
        <w:rPr>
          <w:rFonts w:ascii="Times New Roman" w:hAnsi="Times New Roman" w:cs="Times New Roman"/>
        </w:rPr>
        <w:t xml:space="preserve">а. </w:t>
      </w:r>
      <w:r w:rsidR="00DF4AC2" w:rsidRPr="00DF4AC2">
        <w:rPr>
          <w:rFonts w:ascii="Times New Roman" w:hAnsi="Times New Roman" w:cs="Times New Roman"/>
        </w:rPr>
        <w:t>У даљем истраживању се може</w:t>
      </w:r>
      <w:r w:rsidR="006C031A">
        <w:rPr>
          <w:rFonts w:ascii="Times New Roman" w:hAnsi="Times New Roman" w:cs="Times New Roman"/>
        </w:rPr>
        <w:t>, на пример,</w:t>
      </w:r>
      <w:r w:rsidR="00DF4AC2" w:rsidRPr="00DF4AC2">
        <w:rPr>
          <w:rFonts w:ascii="Times New Roman" w:hAnsi="Times New Roman" w:cs="Times New Roman"/>
        </w:rPr>
        <w:t xml:space="preserve"> укључити индекс који прати </w:t>
      </w:r>
      <w:r w:rsidR="00DF4AC2">
        <w:rPr>
          <w:rFonts w:ascii="Times New Roman" w:hAnsi="Times New Roman" w:cs="Times New Roman"/>
        </w:rPr>
        <w:t xml:space="preserve">перформансе </w:t>
      </w:r>
      <w:r w:rsidR="00DF4AC2" w:rsidRPr="00DF4AC2">
        <w:rPr>
          <w:rFonts w:ascii="Times New Roman" w:hAnsi="Times New Roman" w:cs="Times New Roman"/>
        </w:rPr>
        <w:t>компаниј</w:t>
      </w:r>
      <w:r w:rsidR="00DF4AC2">
        <w:rPr>
          <w:rFonts w:ascii="Times New Roman" w:hAnsi="Times New Roman" w:cs="Times New Roman"/>
        </w:rPr>
        <w:t>а које послују у области</w:t>
      </w:r>
      <w:r w:rsidR="00DF4AC2" w:rsidRPr="00DF4AC2">
        <w:rPr>
          <w:rFonts w:ascii="Times New Roman" w:hAnsi="Times New Roman" w:cs="Times New Roman"/>
        </w:rPr>
        <w:t xml:space="preserve"> рударств</w:t>
      </w:r>
      <w:r w:rsidR="00DF4AC2">
        <w:rPr>
          <w:rFonts w:ascii="Times New Roman" w:hAnsi="Times New Roman" w:cs="Times New Roman"/>
        </w:rPr>
        <w:t>а</w:t>
      </w:r>
      <w:r w:rsidR="00DF4AC2" w:rsidRPr="00DF4AC2">
        <w:rPr>
          <w:rFonts w:ascii="Times New Roman" w:hAnsi="Times New Roman" w:cs="Times New Roman"/>
        </w:rPr>
        <w:t xml:space="preserve">. </w:t>
      </w:r>
      <w:r w:rsidR="00B90818">
        <w:rPr>
          <w:rFonts w:ascii="Times New Roman" w:hAnsi="Times New Roman" w:cs="Times New Roman"/>
        </w:rPr>
        <w:t xml:space="preserve">У модел се могу </w:t>
      </w:r>
      <w:r w:rsidR="006A04EA">
        <w:rPr>
          <w:rFonts w:ascii="Times New Roman" w:hAnsi="Times New Roman" w:cs="Times New Roman"/>
        </w:rPr>
        <w:t>укључити додатн</w:t>
      </w:r>
      <w:r w:rsidR="00B90818">
        <w:rPr>
          <w:rFonts w:ascii="Times New Roman" w:hAnsi="Times New Roman" w:cs="Times New Roman"/>
        </w:rPr>
        <w:t>и</w:t>
      </w:r>
      <w:r w:rsidR="006A04EA">
        <w:rPr>
          <w:rFonts w:ascii="Times New Roman" w:hAnsi="Times New Roman" w:cs="Times New Roman"/>
        </w:rPr>
        <w:t xml:space="preserve"> фактор</w:t>
      </w:r>
      <w:r w:rsidR="00B90818">
        <w:rPr>
          <w:rFonts w:ascii="Times New Roman" w:hAnsi="Times New Roman" w:cs="Times New Roman"/>
        </w:rPr>
        <w:t>и</w:t>
      </w:r>
      <w:r w:rsidR="006A04EA">
        <w:rPr>
          <w:rFonts w:ascii="Times New Roman" w:hAnsi="Times New Roman" w:cs="Times New Roman"/>
        </w:rPr>
        <w:t xml:space="preserve"> који могу утицати на кретање приноса CAT акција, на пример геополитчке ризике, затим употреба других статитичких метода за прогнозирање приноса, попут метода машинског учења.</w:t>
      </w:r>
      <w:r w:rsidR="00DC6A54">
        <w:rPr>
          <w:rFonts w:ascii="Times New Roman" w:hAnsi="Times New Roman" w:cs="Times New Roman"/>
        </w:rPr>
        <w:t xml:space="preserve"> Такође се мо</w:t>
      </w:r>
      <w:r w:rsidR="00F92FA8">
        <w:rPr>
          <w:rFonts w:ascii="Times New Roman" w:hAnsi="Times New Roman" w:cs="Times New Roman"/>
        </w:rPr>
        <w:t>гу</w:t>
      </w:r>
      <w:r w:rsidR="00DC6A54">
        <w:rPr>
          <w:rFonts w:ascii="Times New Roman" w:hAnsi="Times New Roman" w:cs="Times New Roman"/>
        </w:rPr>
        <w:t xml:space="preserve"> </w:t>
      </w:r>
      <w:r w:rsidR="00F92FA8">
        <w:rPr>
          <w:rFonts w:ascii="Times New Roman" w:hAnsi="Times New Roman" w:cs="Times New Roman"/>
        </w:rPr>
        <w:t>разматрати</w:t>
      </w:r>
      <w:r w:rsidR="00DC6A54">
        <w:rPr>
          <w:rFonts w:ascii="Times New Roman" w:hAnsi="Times New Roman" w:cs="Times New Roman"/>
        </w:rPr>
        <w:t xml:space="preserve"> временск</w:t>
      </w:r>
      <w:r w:rsidR="00F92FA8">
        <w:rPr>
          <w:rFonts w:ascii="Times New Roman" w:hAnsi="Times New Roman" w:cs="Times New Roman"/>
        </w:rPr>
        <w:t>е</w:t>
      </w:r>
      <w:r w:rsidR="00DC6A54">
        <w:rPr>
          <w:rFonts w:ascii="Times New Roman" w:hAnsi="Times New Roman" w:cs="Times New Roman"/>
        </w:rPr>
        <w:t xml:space="preserve"> сериј</w:t>
      </w:r>
      <w:r w:rsidR="00F92FA8">
        <w:rPr>
          <w:rFonts w:ascii="Times New Roman" w:hAnsi="Times New Roman" w:cs="Times New Roman"/>
        </w:rPr>
        <w:t>е</w:t>
      </w:r>
      <w:r w:rsidR="00DC6A54">
        <w:rPr>
          <w:rFonts w:ascii="Times New Roman" w:hAnsi="Times New Roman" w:cs="Times New Roman"/>
        </w:rPr>
        <w:t xml:space="preserve"> за десетогодишњи временски период.</w:t>
      </w:r>
    </w:p>
    <w:p w14:paraId="303B8FBB" w14:textId="598E6134" w:rsidR="00B94526" w:rsidRPr="00B94526" w:rsidRDefault="00B94526" w:rsidP="00B94526">
      <w:pPr>
        <w:jc w:val="both"/>
        <w:rPr>
          <w:rFonts w:ascii="Times New Roman" w:hAnsi="Times New Roman" w:cs="Times New Roman"/>
        </w:rPr>
      </w:pPr>
      <w:r w:rsidRPr="00B94526">
        <w:rPr>
          <w:rFonts w:ascii="Times New Roman" w:hAnsi="Times New Roman" w:cs="Times New Roman"/>
        </w:rPr>
        <w:t xml:space="preserve">Иако оваква предвиђања имају бројна ограничења, досадашња искуства </w:t>
      </w:r>
      <w:r w:rsidR="008D7AD1">
        <w:rPr>
          <w:rFonts w:ascii="Times New Roman" w:hAnsi="Times New Roman" w:cs="Times New Roman"/>
          <w:lang w:val="sr-Cyrl-RS"/>
        </w:rPr>
        <w:t xml:space="preserve">у истраживањима </w:t>
      </w:r>
      <w:r w:rsidRPr="00B94526">
        <w:rPr>
          <w:rFonts w:ascii="Times New Roman" w:hAnsi="Times New Roman" w:cs="Times New Roman"/>
        </w:rPr>
        <w:t xml:space="preserve">потврђују да доприносе бољем разумевању карактеристика које дају оптимално агрегирање информација и ефикасно одређивање цена. </w:t>
      </w:r>
      <w:r w:rsidR="0008375D">
        <w:rPr>
          <w:rFonts w:ascii="Times New Roman" w:hAnsi="Times New Roman" w:cs="Times New Roman"/>
        </w:rPr>
        <w:t xml:space="preserve">Разматрањем додатних варијабли, установили смо да поред предиктора SPY, и PKB </w:t>
      </w:r>
      <w:r w:rsidR="0008375D" w:rsidRPr="0008375D">
        <w:rPr>
          <w:rFonts w:ascii="Times New Roman" w:hAnsi="Times New Roman" w:cs="Times New Roman"/>
        </w:rPr>
        <w:t>инвестициони фонд</w:t>
      </w:r>
      <w:r w:rsidR="0008375D">
        <w:rPr>
          <w:rFonts w:ascii="Times New Roman" w:hAnsi="Times New Roman" w:cs="Times New Roman"/>
        </w:rPr>
        <w:t>, који прати перформансе компанија који су лидери у грађевинском сектору доприноси предвиђању приноса CAT-ових акција</w:t>
      </w:r>
      <w:r w:rsidR="00DF4AC2">
        <w:rPr>
          <w:rFonts w:ascii="Times New Roman" w:hAnsi="Times New Roman" w:cs="Times New Roman"/>
        </w:rPr>
        <w:t xml:space="preserve">. </w:t>
      </w:r>
      <w:r w:rsidR="00F7035F">
        <w:rPr>
          <w:rFonts w:ascii="Times New Roman" w:hAnsi="Times New Roman" w:cs="Times New Roman"/>
        </w:rPr>
        <w:t xml:space="preserve">Установљено је да на кретање приноса не утичу само бакар и челик као важне сировине, већ и алуминијум. </w:t>
      </w:r>
      <w:r w:rsidRPr="00B94526">
        <w:rPr>
          <w:rFonts w:ascii="Times New Roman" w:hAnsi="Times New Roman" w:cs="Times New Roman"/>
        </w:rPr>
        <w:t>Такође, примена статистичких и економетријских метода за моделирање кретања приноса омогућава разумевање и процену односа између различитих фактора, попут економских индикатора, индустријских трендова, политичких догађаја, који утичу на цене одређене хартије, а указује и на значај проучавања временских серија у процесу доношења инвестиционих одлука.</w:t>
      </w:r>
      <w:r w:rsidR="00A64780" w:rsidRPr="00A64780">
        <w:t xml:space="preserve"> </w:t>
      </w:r>
      <w:r w:rsidR="00A64780" w:rsidRPr="00A64780">
        <w:rPr>
          <w:rFonts w:ascii="Times New Roman" w:hAnsi="Times New Roman" w:cs="Times New Roman"/>
        </w:rPr>
        <w:t>У складу с тим, развој модела за прогнозирање приноса омогућава истраживачима да идентификују обрасце и трендове у подацима и да предвиде будуће перформансе хартија од вредности (Fama, 1970).</w:t>
      </w:r>
      <w:r w:rsidR="00A64780">
        <w:t xml:space="preserve"> </w:t>
      </w:r>
    </w:p>
    <w:p w14:paraId="7805D026" w14:textId="77777777" w:rsidR="00C823AF" w:rsidRDefault="00B94526" w:rsidP="00D842FD">
      <w:pPr>
        <w:jc w:val="both"/>
      </w:pPr>
      <w:r w:rsidRPr="00B94526">
        <w:rPr>
          <w:rFonts w:ascii="Times New Roman" w:hAnsi="Times New Roman" w:cs="Times New Roman"/>
        </w:rPr>
        <w:t xml:space="preserve">С друге стране, </w:t>
      </w:r>
      <w:r w:rsidR="00DC6A54">
        <w:rPr>
          <w:rFonts w:ascii="Times New Roman" w:hAnsi="Times New Roman" w:cs="Times New Roman"/>
        </w:rPr>
        <w:t xml:space="preserve">практични допринос рада указује да инвеститори у CAT акције треба да обрате пажњу не само на макроекономске факторе, већ и на перформансе акција компанија у његовом ланцу снабдевања, те представља битну импликацију за доношење инвестиционих одлука. </w:t>
      </w:r>
      <w:r w:rsidR="005D77C5">
        <w:rPr>
          <w:rFonts w:ascii="Times New Roman" w:hAnsi="Times New Roman" w:cs="Times New Roman"/>
        </w:rPr>
        <w:t xml:space="preserve">У </w:t>
      </w:r>
      <w:r w:rsidR="005D77C5" w:rsidRPr="005D77C5">
        <w:rPr>
          <w:rFonts w:ascii="Times New Roman" w:hAnsi="Times New Roman" w:cs="Times New Roman"/>
        </w:rPr>
        <w:t>том смислу, важно је проширити анализу и укључити перформансе компанија које су директно повезане са Caterpillar</w:t>
      </w:r>
      <w:r w:rsidR="0008375D">
        <w:rPr>
          <w:rFonts w:ascii="Times New Roman" w:hAnsi="Times New Roman" w:cs="Times New Roman"/>
        </w:rPr>
        <w:t>-</w:t>
      </w:r>
      <w:r w:rsidR="005D77C5" w:rsidRPr="005D77C5">
        <w:rPr>
          <w:rFonts w:ascii="Times New Roman" w:hAnsi="Times New Roman" w:cs="Times New Roman"/>
        </w:rPr>
        <w:t>ом у погледу снаб</w:t>
      </w:r>
      <w:r w:rsidR="0008375D">
        <w:rPr>
          <w:rFonts w:ascii="Times New Roman" w:hAnsi="Times New Roman" w:cs="Times New Roman"/>
        </w:rPr>
        <w:t xml:space="preserve">девања. </w:t>
      </w:r>
      <w:r w:rsidR="00DC6A54">
        <w:rPr>
          <w:rFonts w:ascii="Times New Roman" w:hAnsi="Times New Roman" w:cs="Times New Roman"/>
        </w:rPr>
        <w:t>П</w:t>
      </w:r>
      <w:r w:rsidRPr="00B94526">
        <w:rPr>
          <w:rFonts w:ascii="Times New Roman" w:hAnsi="Times New Roman" w:cs="Times New Roman"/>
        </w:rPr>
        <w:t xml:space="preserve">рактичне импликације укључују развијање нове идеје о томе како и када тржишна предвиђања могу помоћи у доношењу одлука од стране инвеститора. Инвеститори користе предвиђања како би донели своје одлуке, а тачне прогнозе им могу помоћи да идентификују профитабилне прилике за инвестирање и да смање ризик својих портфолија, односно да избегавају неуспешне инвестиције. Насупрот инвеститорима, </w:t>
      </w:r>
      <w:r w:rsidRPr="00B94526">
        <w:rPr>
          <w:rFonts w:ascii="Times New Roman" w:hAnsi="Times New Roman" w:cs="Times New Roman"/>
        </w:rPr>
        <w:lastRenderedPageBreak/>
        <w:t>компаније могу користити предвиђања приноса како би процениле тржишну перцепцију својих хартија и доносиле стратегијске одлуке, попут одлука о емитовању нових хартија или управљању дивидендама, а што допиноси ефикасности и профитабилности пословања. На крају, регулатори могу користити анализу предвиђања приноса хартија како би пратили стабилност финансијских тржишта и пред</w:t>
      </w:r>
      <w:r w:rsidR="002044AE">
        <w:rPr>
          <w:rFonts w:ascii="Times New Roman" w:hAnsi="Times New Roman" w:cs="Times New Roman"/>
        </w:rPr>
        <w:t>у</w:t>
      </w:r>
      <w:r w:rsidRPr="00B94526">
        <w:rPr>
          <w:rFonts w:ascii="Times New Roman" w:hAnsi="Times New Roman" w:cs="Times New Roman"/>
        </w:rPr>
        <w:t>зели одговарајуће мере.</w:t>
      </w:r>
      <w:r w:rsidR="00FB320C" w:rsidRPr="00FB320C">
        <w:t xml:space="preserve"> </w:t>
      </w:r>
    </w:p>
    <w:p w14:paraId="120F2C22" w14:textId="77777777" w:rsidR="00196BCB" w:rsidRPr="00C754A0" w:rsidRDefault="00196BCB" w:rsidP="00D842FD">
      <w:pPr>
        <w:jc w:val="both"/>
      </w:pPr>
    </w:p>
    <w:p w14:paraId="6B1CBE3C" w14:textId="77777777" w:rsidR="00DE2AC5" w:rsidRDefault="00DE2AC5" w:rsidP="00D842FD">
      <w:pPr>
        <w:jc w:val="both"/>
        <w:rPr>
          <w:rFonts w:ascii="Times New Roman" w:hAnsi="Times New Roman" w:cs="Times New Roman"/>
          <w:b/>
          <w:bCs/>
        </w:rPr>
      </w:pPr>
      <w:r w:rsidRPr="00FA731A">
        <w:rPr>
          <w:rFonts w:ascii="Times New Roman" w:hAnsi="Times New Roman" w:cs="Times New Roman"/>
          <w:b/>
          <w:bCs/>
        </w:rPr>
        <w:t>Литература</w:t>
      </w:r>
    </w:p>
    <w:p w14:paraId="48BAF23E" w14:textId="77777777" w:rsidR="007256C6" w:rsidRDefault="007256C6" w:rsidP="00BB00AF">
      <w:pPr>
        <w:autoSpaceDE w:val="0"/>
        <w:autoSpaceDN w:val="0"/>
        <w:adjustRightInd w:val="0"/>
        <w:spacing w:after="120" w:line="240" w:lineRule="auto"/>
        <w:jc w:val="both"/>
        <w:rPr>
          <w:rFonts w:ascii="Times New Roman" w:eastAsia="MinionPro-Regular" w:hAnsi="Times New Roman" w:cs="Times New Roman"/>
        </w:rPr>
      </w:pPr>
      <w:r w:rsidRPr="007256C6">
        <w:rPr>
          <w:rFonts w:ascii="Times New Roman" w:eastAsia="MinionPro-Regular" w:hAnsi="Times New Roman" w:cs="Times New Roman"/>
        </w:rPr>
        <w:t xml:space="preserve">Akinwande, O., M., Dikko, G., H., &amp; Samson, A. (2015). Variance inflation factor: As a condition for inclusion of suppressor variables(s) in regression analysis, </w:t>
      </w:r>
      <w:r w:rsidRPr="007256C6">
        <w:rPr>
          <w:rFonts w:ascii="Times New Roman" w:eastAsia="MinionPro-It" w:hAnsi="Times New Roman" w:cs="Times New Roman"/>
          <w:i/>
          <w:iCs/>
        </w:rPr>
        <w:t>Open Journal of Statistics</w:t>
      </w:r>
      <w:r w:rsidRPr="007256C6">
        <w:rPr>
          <w:rFonts w:ascii="Times New Roman" w:eastAsia="MinionPro-Regular" w:hAnsi="Times New Roman" w:cs="Times New Roman"/>
        </w:rPr>
        <w:t>, 5, 754-767</w:t>
      </w:r>
    </w:p>
    <w:p w14:paraId="46EC0479" w14:textId="77777777" w:rsidR="003A6EBE" w:rsidRDefault="003A6EBE" w:rsidP="00BB00AF">
      <w:pPr>
        <w:autoSpaceDE w:val="0"/>
        <w:autoSpaceDN w:val="0"/>
        <w:adjustRightInd w:val="0"/>
        <w:spacing w:after="120" w:line="240" w:lineRule="auto"/>
        <w:jc w:val="both"/>
        <w:rPr>
          <w:rFonts w:ascii="Times New Roman" w:eastAsia="MinionPro-Regular" w:hAnsi="Times New Roman" w:cs="Times New Roman"/>
        </w:rPr>
      </w:pPr>
      <w:r w:rsidRPr="003A6EBE">
        <w:rPr>
          <w:rFonts w:ascii="Times New Roman" w:eastAsia="MinionPro-Regular" w:hAnsi="Times New Roman" w:cs="Times New Roman"/>
        </w:rPr>
        <w:t>Albahli</w:t>
      </w:r>
      <w:r>
        <w:rPr>
          <w:rFonts w:ascii="Times New Roman" w:eastAsia="MinionPro-Regular" w:hAnsi="Times New Roman" w:cs="Times New Roman"/>
        </w:rPr>
        <w:t xml:space="preserve"> S.</w:t>
      </w:r>
      <w:r w:rsidRPr="003A6EBE">
        <w:rPr>
          <w:rFonts w:ascii="Times New Roman" w:eastAsia="MinionPro-Regular" w:hAnsi="Times New Roman" w:cs="Times New Roman"/>
        </w:rPr>
        <w:t>, Nazir</w:t>
      </w:r>
      <w:r>
        <w:rPr>
          <w:rFonts w:ascii="Times New Roman" w:eastAsia="MinionPro-Regular" w:hAnsi="Times New Roman" w:cs="Times New Roman"/>
        </w:rPr>
        <w:t xml:space="preserve"> T.</w:t>
      </w:r>
      <w:r w:rsidRPr="003A6EBE">
        <w:rPr>
          <w:rFonts w:ascii="Times New Roman" w:eastAsia="MinionPro-Regular" w:hAnsi="Times New Roman" w:cs="Times New Roman"/>
        </w:rPr>
        <w:t>, Mehmood</w:t>
      </w:r>
      <w:r>
        <w:rPr>
          <w:rFonts w:ascii="Times New Roman" w:eastAsia="MinionPro-Regular" w:hAnsi="Times New Roman" w:cs="Times New Roman"/>
        </w:rPr>
        <w:t xml:space="preserve"> A</w:t>
      </w:r>
      <w:r w:rsidRPr="003A6EBE">
        <w:rPr>
          <w:rFonts w:ascii="Times New Roman" w:eastAsia="MinionPro-Regular" w:hAnsi="Times New Roman" w:cs="Times New Roman"/>
        </w:rPr>
        <w:t>,</w:t>
      </w:r>
      <w:r>
        <w:rPr>
          <w:rFonts w:ascii="Times New Roman" w:eastAsia="MinionPro-Regular" w:hAnsi="Times New Roman" w:cs="Times New Roman"/>
        </w:rPr>
        <w:t xml:space="preserve"> </w:t>
      </w:r>
      <w:r w:rsidRPr="003A6EBE">
        <w:rPr>
          <w:rFonts w:ascii="Times New Roman" w:eastAsia="MinionPro-Regular" w:hAnsi="Times New Roman" w:cs="Times New Roman"/>
        </w:rPr>
        <w:t>Irtaza</w:t>
      </w:r>
      <w:r>
        <w:rPr>
          <w:rFonts w:ascii="Times New Roman" w:eastAsia="MinionPro-Regular" w:hAnsi="Times New Roman" w:cs="Times New Roman"/>
        </w:rPr>
        <w:t xml:space="preserve"> A.</w:t>
      </w:r>
      <w:r w:rsidRPr="003A6EBE">
        <w:rPr>
          <w:rFonts w:ascii="Times New Roman" w:eastAsia="MinionPro-Regular" w:hAnsi="Times New Roman" w:cs="Times New Roman"/>
        </w:rPr>
        <w:t>, Ali</w:t>
      </w:r>
      <w:r>
        <w:rPr>
          <w:rFonts w:ascii="Times New Roman" w:eastAsia="MinionPro-Regular" w:hAnsi="Times New Roman" w:cs="Times New Roman"/>
        </w:rPr>
        <w:t xml:space="preserve"> A.</w:t>
      </w:r>
      <w:r w:rsidRPr="003A6EBE">
        <w:rPr>
          <w:rFonts w:ascii="Times New Roman" w:eastAsia="MinionPro-Regular" w:hAnsi="Times New Roman" w:cs="Times New Roman"/>
        </w:rPr>
        <w:t>, Albattah</w:t>
      </w:r>
      <w:r>
        <w:rPr>
          <w:rFonts w:ascii="Times New Roman" w:eastAsia="MinionPro-Regular" w:hAnsi="Times New Roman" w:cs="Times New Roman"/>
        </w:rPr>
        <w:t xml:space="preserve"> W</w:t>
      </w:r>
      <w:r w:rsidR="003B7973">
        <w:rPr>
          <w:rFonts w:ascii="Times New Roman" w:eastAsia="MinionPro-Regular" w:hAnsi="Times New Roman" w:cs="Times New Roman"/>
        </w:rPr>
        <w:t>. (2022).</w:t>
      </w:r>
      <w:r w:rsidRPr="003A6EBE">
        <w:rPr>
          <w:rFonts w:ascii="Times New Roman" w:eastAsia="MinionPro-Regular" w:hAnsi="Times New Roman" w:cs="Times New Roman"/>
        </w:rPr>
        <w:t xml:space="preserve"> AEI-DNET: a novel densenet model with an autoencoder for the stock market predictions using stock technical indicators, Electronics 11 (4)</w:t>
      </w:r>
      <w:r w:rsidR="003B7973">
        <w:rPr>
          <w:rFonts w:ascii="Times New Roman" w:eastAsia="MinionPro-Regular" w:hAnsi="Times New Roman" w:cs="Times New Roman"/>
        </w:rPr>
        <w:t xml:space="preserve"> </w:t>
      </w:r>
      <w:r w:rsidRPr="003A6EBE">
        <w:rPr>
          <w:rFonts w:ascii="Times New Roman" w:eastAsia="MinionPro-Regular" w:hAnsi="Times New Roman" w:cs="Times New Roman"/>
        </w:rPr>
        <w:t>611.</w:t>
      </w:r>
    </w:p>
    <w:p w14:paraId="67746887" w14:textId="77777777" w:rsidR="00616967" w:rsidRDefault="00616967" w:rsidP="00BB00AF">
      <w:pPr>
        <w:autoSpaceDE w:val="0"/>
        <w:autoSpaceDN w:val="0"/>
        <w:adjustRightInd w:val="0"/>
        <w:spacing w:after="120" w:line="240" w:lineRule="auto"/>
        <w:jc w:val="both"/>
        <w:rPr>
          <w:rFonts w:ascii="Times New Roman" w:eastAsia="MinionPro-Regular" w:hAnsi="Times New Roman" w:cs="Times New Roman"/>
        </w:rPr>
      </w:pPr>
      <w:r w:rsidRPr="00616967">
        <w:rPr>
          <w:rFonts w:ascii="Times New Roman" w:eastAsia="MinionPro-Regular" w:hAnsi="Times New Roman" w:cs="Times New Roman"/>
        </w:rPr>
        <w:t>Alexander, C. (2008). Quantitative Methods in Finance. England: John Wiley &amp; Sons Ltd.</w:t>
      </w:r>
    </w:p>
    <w:p w14:paraId="77DAE353" w14:textId="77777777" w:rsidR="00F948F2" w:rsidRDefault="00F948F2" w:rsidP="00F948F2">
      <w:pPr>
        <w:autoSpaceDE w:val="0"/>
        <w:autoSpaceDN w:val="0"/>
        <w:adjustRightInd w:val="0"/>
        <w:spacing w:after="120" w:line="240" w:lineRule="auto"/>
        <w:jc w:val="both"/>
        <w:rPr>
          <w:rFonts w:ascii="Times New Roman" w:eastAsia="MinionPro-Regular" w:hAnsi="Times New Roman" w:cs="Times New Roman"/>
        </w:rPr>
      </w:pPr>
      <w:r w:rsidRPr="00F948F2">
        <w:rPr>
          <w:rFonts w:ascii="Times New Roman" w:eastAsia="MinionPro-Regular" w:hAnsi="Times New Roman" w:cs="Times New Roman"/>
        </w:rPr>
        <w:t>Ang, A., Bekaert, G. (2007). “Return predictability: is it there?” Review of Financial Studies 20,</w:t>
      </w:r>
      <w:r>
        <w:rPr>
          <w:rFonts w:ascii="Times New Roman" w:eastAsia="MinionPro-Regular" w:hAnsi="Times New Roman" w:cs="Times New Roman"/>
        </w:rPr>
        <w:t xml:space="preserve"> </w:t>
      </w:r>
      <w:r w:rsidRPr="00F948F2">
        <w:rPr>
          <w:rFonts w:ascii="Times New Roman" w:eastAsia="MinionPro-Regular" w:hAnsi="Times New Roman" w:cs="Times New Roman"/>
        </w:rPr>
        <w:t>651–707.</w:t>
      </w:r>
    </w:p>
    <w:p w14:paraId="234FD0A7" w14:textId="77777777" w:rsidR="00AF55CB" w:rsidRDefault="00AF55CB" w:rsidP="00BB00AF">
      <w:pPr>
        <w:autoSpaceDE w:val="0"/>
        <w:autoSpaceDN w:val="0"/>
        <w:adjustRightInd w:val="0"/>
        <w:spacing w:after="120" w:line="240" w:lineRule="auto"/>
        <w:jc w:val="both"/>
        <w:rPr>
          <w:rFonts w:ascii="Times New Roman" w:eastAsia="MinionPro-Regular" w:hAnsi="Times New Roman" w:cs="Times New Roman"/>
        </w:rPr>
      </w:pPr>
      <w:r w:rsidRPr="00AF55CB">
        <w:rPr>
          <w:rFonts w:ascii="Times New Roman" w:eastAsia="MinionPro-Regular" w:hAnsi="Times New Roman" w:cs="Times New Roman"/>
        </w:rPr>
        <w:t>Büyükşalvarcı, A</w:t>
      </w:r>
      <w:r>
        <w:rPr>
          <w:rFonts w:ascii="Times New Roman" w:eastAsia="MinionPro-Regular" w:hAnsi="Times New Roman" w:cs="Times New Roman"/>
        </w:rPr>
        <w:t>. (</w:t>
      </w:r>
      <w:r w:rsidRPr="00AF55CB">
        <w:rPr>
          <w:rFonts w:ascii="Times New Roman" w:eastAsia="MinionPro-Regular" w:hAnsi="Times New Roman" w:cs="Times New Roman"/>
        </w:rPr>
        <w:t>2010</w:t>
      </w:r>
      <w:r>
        <w:rPr>
          <w:rFonts w:ascii="Times New Roman" w:eastAsia="MinionPro-Regular" w:hAnsi="Times New Roman" w:cs="Times New Roman"/>
        </w:rPr>
        <w:t>)</w:t>
      </w:r>
      <w:r w:rsidRPr="00AF55CB">
        <w:rPr>
          <w:rFonts w:ascii="Times New Roman" w:eastAsia="MinionPro-Regular" w:hAnsi="Times New Roman" w:cs="Times New Roman"/>
        </w:rPr>
        <w:t>. The Effects of Macroeconomics Variables on Stock Returns: Evidence from Turkey.</w:t>
      </w:r>
      <w:r>
        <w:rPr>
          <w:rFonts w:ascii="Times New Roman" w:eastAsia="MinionPro-Regular" w:hAnsi="Times New Roman" w:cs="Times New Roman"/>
        </w:rPr>
        <w:t xml:space="preserve"> </w:t>
      </w:r>
      <w:r w:rsidRPr="00AF55CB">
        <w:rPr>
          <w:rFonts w:ascii="Times New Roman" w:eastAsia="MinionPro-Regular" w:hAnsi="Times New Roman" w:cs="Times New Roman"/>
        </w:rPr>
        <w:t>European Journal on Social Science, [e-journal] 14</w:t>
      </w:r>
    </w:p>
    <w:p w14:paraId="480466EA" w14:textId="77777777" w:rsidR="00253736" w:rsidRDefault="00253736" w:rsidP="00BB00AF">
      <w:pPr>
        <w:autoSpaceDE w:val="0"/>
        <w:autoSpaceDN w:val="0"/>
        <w:adjustRightInd w:val="0"/>
        <w:spacing w:after="120" w:line="240" w:lineRule="auto"/>
        <w:jc w:val="both"/>
        <w:rPr>
          <w:rFonts w:ascii="Times New Roman" w:eastAsia="MinionPro-Regular" w:hAnsi="Times New Roman" w:cs="Times New Roman"/>
        </w:rPr>
      </w:pPr>
      <w:r w:rsidRPr="00253736">
        <w:rPr>
          <w:rFonts w:ascii="Times New Roman" w:eastAsia="MinionPro-Regular" w:hAnsi="Times New Roman" w:cs="Times New Roman"/>
        </w:rPr>
        <w:t>Campbell, J.Y. (2000). “Asset pricing at the millennium.” Journal of Finance 55, 1515–1567.</w:t>
      </w:r>
    </w:p>
    <w:p w14:paraId="6BED0D73" w14:textId="77777777" w:rsidR="00253736" w:rsidRDefault="00190385" w:rsidP="00190385">
      <w:pPr>
        <w:autoSpaceDE w:val="0"/>
        <w:autoSpaceDN w:val="0"/>
        <w:adjustRightInd w:val="0"/>
        <w:spacing w:after="120" w:line="240" w:lineRule="auto"/>
        <w:jc w:val="both"/>
        <w:rPr>
          <w:rFonts w:ascii="Times New Roman" w:eastAsia="MinionPro-Regular" w:hAnsi="Times New Roman" w:cs="Times New Roman"/>
        </w:rPr>
      </w:pPr>
      <w:r w:rsidRPr="00190385">
        <w:rPr>
          <w:rFonts w:ascii="Times New Roman" w:eastAsia="MinionPro-Regular" w:hAnsi="Times New Roman" w:cs="Times New Roman"/>
        </w:rPr>
        <w:t>Campbell, J.Y., Shiller, R.J. (1988b). “Stock prices, earnings, and expected dividends.” Journal of</w:t>
      </w:r>
      <w:r>
        <w:rPr>
          <w:rFonts w:ascii="Times New Roman" w:eastAsia="MinionPro-Regular" w:hAnsi="Times New Roman" w:cs="Times New Roman"/>
        </w:rPr>
        <w:t xml:space="preserve"> </w:t>
      </w:r>
      <w:r w:rsidRPr="00190385">
        <w:rPr>
          <w:rFonts w:ascii="Times New Roman" w:eastAsia="MinionPro-Regular" w:hAnsi="Times New Roman" w:cs="Times New Roman"/>
        </w:rPr>
        <w:t>Finance 43, 661–676.</w:t>
      </w:r>
    </w:p>
    <w:p w14:paraId="0029EAF2" w14:textId="77777777" w:rsidR="00716600" w:rsidRDefault="00716600" w:rsidP="00716600">
      <w:pPr>
        <w:autoSpaceDE w:val="0"/>
        <w:autoSpaceDN w:val="0"/>
        <w:adjustRightInd w:val="0"/>
        <w:spacing w:after="120" w:line="240" w:lineRule="auto"/>
        <w:jc w:val="both"/>
        <w:rPr>
          <w:rFonts w:ascii="Times New Roman" w:eastAsia="MinionPro-Regular" w:hAnsi="Times New Roman" w:cs="Times New Roman"/>
        </w:rPr>
      </w:pPr>
      <w:r w:rsidRPr="00716600">
        <w:rPr>
          <w:rFonts w:ascii="Times New Roman" w:eastAsia="MinionPro-Regular" w:hAnsi="Times New Roman" w:cs="Times New Roman"/>
        </w:rPr>
        <w:t>Campbell, J.Y., Cochrane, J.H. (1999). “By force of habit: a consumption-based explanation of</w:t>
      </w:r>
      <w:r>
        <w:rPr>
          <w:rFonts w:ascii="Times New Roman" w:eastAsia="MinionPro-Regular" w:hAnsi="Times New Roman" w:cs="Times New Roman"/>
        </w:rPr>
        <w:t xml:space="preserve"> </w:t>
      </w:r>
      <w:r w:rsidRPr="00716600">
        <w:rPr>
          <w:rFonts w:ascii="Times New Roman" w:eastAsia="MinionPro-Regular" w:hAnsi="Times New Roman" w:cs="Times New Roman"/>
        </w:rPr>
        <w:t>aggregate stock market behavior.” Journal of Political Economy 107, 205–251.</w:t>
      </w:r>
    </w:p>
    <w:p w14:paraId="6326E442" w14:textId="77777777" w:rsidR="00716600" w:rsidRDefault="003833B0" w:rsidP="003833B0">
      <w:pPr>
        <w:autoSpaceDE w:val="0"/>
        <w:autoSpaceDN w:val="0"/>
        <w:adjustRightInd w:val="0"/>
        <w:spacing w:after="120" w:line="240" w:lineRule="auto"/>
        <w:jc w:val="both"/>
        <w:rPr>
          <w:rFonts w:ascii="Times New Roman" w:eastAsia="MinionPro-Regular" w:hAnsi="Times New Roman" w:cs="Times New Roman"/>
        </w:rPr>
      </w:pPr>
      <w:r w:rsidRPr="003833B0">
        <w:rPr>
          <w:rFonts w:ascii="Times New Roman" w:eastAsia="MinionPro-Regular" w:hAnsi="Times New Roman" w:cs="Times New Roman"/>
        </w:rPr>
        <w:t>Campbell, S.D., Diebold, F.X. (2009).</w:t>
      </w:r>
      <w:r>
        <w:rPr>
          <w:rFonts w:ascii="Times New Roman" w:eastAsia="MinionPro-Regular" w:hAnsi="Times New Roman" w:cs="Times New Roman"/>
        </w:rPr>
        <w:t xml:space="preserve"> </w:t>
      </w:r>
      <w:r w:rsidR="0056546F" w:rsidRPr="0056546F">
        <w:rPr>
          <w:rFonts w:ascii="Times New Roman" w:eastAsia="MinionPro-Regular" w:hAnsi="Times New Roman" w:cs="Times New Roman"/>
        </w:rPr>
        <w:t>“</w:t>
      </w:r>
      <w:r w:rsidRPr="003833B0">
        <w:rPr>
          <w:rFonts w:ascii="Times New Roman" w:eastAsia="MinionPro-Regular" w:hAnsi="Times New Roman" w:cs="Times New Roman"/>
        </w:rPr>
        <w:t>Stock returns and expected business conditions: a half</w:t>
      </w:r>
      <w:r>
        <w:rPr>
          <w:rFonts w:ascii="Times New Roman" w:eastAsia="MinionPro-Regular" w:hAnsi="Times New Roman" w:cs="Times New Roman"/>
        </w:rPr>
        <w:t xml:space="preserve"> </w:t>
      </w:r>
      <w:r w:rsidRPr="003833B0">
        <w:rPr>
          <w:rFonts w:ascii="Times New Roman" w:eastAsia="MinionPro-Regular" w:hAnsi="Times New Roman" w:cs="Times New Roman"/>
        </w:rPr>
        <w:t>century of direct evidence.” Journal of Business and Economic Statistics 27, 266–278</w:t>
      </w:r>
    </w:p>
    <w:p w14:paraId="660FA778" w14:textId="77777777" w:rsidR="00190385" w:rsidRDefault="00190385" w:rsidP="00190385">
      <w:pPr>
        <w:autoSpaceDE w:val="0"/>
        <w:autoSpaceDN w:val="0"/>
        <w:adjustRightInd w:val="0"/>
        <w:spacing w:after="120" w:line="240" w:lineRule="auto"/>
        <w:jc w:val="both"/>
        <w:rPr>
          <w:rFonts w:ascii="Times New Roman" w:eastAsia="MinionPro-Regular" w:hAnsi="Times New Roman" w:cs="Times New Roman"/>
        </w:rPr>
      </w:pPr>
      <w:r w:rsidRPr="00190385">
        <w:rPr>
          <w:rFonts w:ascii="Times New Roman" w:eastAsia="MinionPro-Regular" w:hAnsi="Times New Roman" w:cs="Times New Roman"/>
        </w:rPr>
        <w:t>Chen</w:t>
      </w:r>
      <w:r>
        <w:rPr>
          <w:rFonts w:ascii="Times New Roman" w:eastAsia="MinionPro-Regular" w:hAnsi="Times New Roman" w:cs="Times New Roman"/>
        </w:rPr>
        <w:t xml:space="preserve"> S. (2020). </w:t>
      </w:r>
      <w:r w:rsidRPr="00190385">
        <w:rPr>
          <w:rFonts w:ascii="Times New Roman" w:eastAsia="MinionPro-Regular" w:hAnsi="Times New Roman" w:cs="Times New Roman"/>
        </w:rPr>
        <w:t>Forecasting Daily Stock Market Return with</w:t>
      </w:r>
      <w:r>
        <w:rPr>
          <w:rFonts w:ascii="Times New Roman" w:eastAsia="MinionPro-Regular" w:hAnsi="Times New Roman" w:cs="Times New Roman"/>
        </w:rPr>
        <w:t xml:space="preserve"> </w:t>
      </w:r>
      <w:r w:rsidRPr="00190385">
        <w:rPr>
          <w:rFonts w:ascii="Times New Roman" w:eastAsia="MinionPro-Regular" w:hAnsi="Times New Roman" w:cs="Times New Roman"/>
        </w:rPr>
        <w:t>Multiple Linear Regression</w:t>
      </w:r>
      <w:r>
        <w:rPr>
          <w:rFonts w:ascii="Times New Roman" w:eastAsia="MinionPro-Regular" w:hAnsi="Times New Roman" w:cs="Times New Roman"/>
        </w:rPr>
        <w:t>.</w:t>
      </w:r>
      <w:r w:rsidRPr="00190385">
        <w:t xml:space="preserve"> </w:t>
      </w:r>
      <w:r w:rsidRPr="00190385">
        <w:rPr>
          <w:rFonts w:ascii="Times New Roman" w:eastAsia="MinionPro-Regular" w:hAnsi="Times New Roman" w:cs="Times New Roman"/>
        </w:rPr>
        <w:t>Mathematics Senior Capstone Papers. 19.</w:t>
      </w:r>
    </w:p>
    <w:p w14:paraId="0198999D" w14:textId="77777777" w:rsidR="00E12740" w:rsidRDefault="00E12740" w:rsidP="00190385">
      <w:pPr>
        <w:autoSpaceDE w:val="0"/>
        <w:autoSpaceDN w:val="0"/>
        <w:adjustRightInd w:val="0"/>
        <w:spacing w:after="120" w:line="240" w:lineRule="auto"/>
        <w:jc w:val="both"/>
        <w:rPr>
          <w:rFonts w:ascii="Times New Roman" w:eastAsia="MinionPro-Regular" w:hAnsi="Times New Roman" w:cs="Times New Roman"/>
        </w:rPr>
      </w:pPr>
      <w:r w:rsidRPr="00E12740">
        <w:rPr>
          <w:rFonts w:ascii="Times New Roman" w:eastAsia="MinionPro-Regular" w:hAnsi="Times New Roman" w:cs="Times New Roman"/>
        </w:rPr>
        <w:t>Cowles, A. (1933). “Can stock market forecasters forecast?” Econometrica 1, 309–324.</w:t>
      </w:r>
    </w:p>
    <w:p w14:paraId="5649C88B" w14:textId="77777777" w:rsidR="00785FBE" w:rsidRPr="00190385" w:rsidRDefault="00785FBE" w:rsidP="00190385">
      <w:pPr>
        <w:autoSpaceDE w:val="0"/>
        <w:autoSpaceDN w:val="0"/>
        <w:adjustRightInd w:val="0"/>
        <w:spacing w:after="120" w:line="240" w:lineRule="auto"/>
        <w:jc w:val="both"/>
        <w:rPr>
          <w:rFonts w:ascii="Times New Roman" w:eastAsia="MinionPro-Regular" w:hAnsi="Times New Roman" w:cs="Times New Roman"/>
        </w:rPr>
      </w:pPr>
      <w:r w:rsidRPr="00785FBE">
        <w:rPr>
          <w:rFonts w:ascii="Times New Roman" w:eastAsia="MinionPro-Regular" w:hAnsi="Times New Roman" w:cs="Times New Roman"/>
        </w:rPr>
        <w:t xml:space="preserve">Zhong </w:t>
      </w:r>
      <w:r>
        <w:rPr>
          <w:rFonts w:ascii="Times New Roman" w:eastAsia="MinionPro-Regular" w:hAnsi="Times New Roman" w:cs="Times New Roman"/>
        </w:rPr>
        <w:t xml:space="preserve">X., </w:t>
      </w:r>
      <w:r w:rsidRPr="00785FBE">
        <w:rPr>
          <w:rFonts w:ascii="Times New Roman" w:eastAsia="MinionPro-Regular" w:hAnsi="Times New Roman" w:cs="Times New Roman"/>
        </w:rPr>
        <w:t>Enke</w:t>
      </w:r>
      <w:r>
        <w:rPr>
          <w:rFonts w:ascii="Times New Roman" w:eastAsia="MinionPro-Regular" w:hAnsi="Times New Roman" w:cs="Times New Roman"/>
        </w:rPr>
        <w:t xml:space="preserve"> D. (2017)</w:t>
      </w:r>
      <w:r w:rsidRPr="00785FBE">
        <w:rPr>
          <w:rFonts w:ascii="Times New Roman" w:eastAsia="MinionPro-Regular" w:hAnsi="Times New Roman" w:cs="Times New Roman"/>
        </w:rPr>
        <w:t>. A comprehensive cluster and classifcation mining procedure for daily stock market return forecasting. Neurocomputing, 267:152</w:t>
      </w:r>
      <w:r>
        <w:rPr>
          <w:rFonts w:ascii="Times New Roman" w:eastAsia="MinionPro-Regular" w:hAnsi="Times New Roman" w:cs="Times New Roman"/>
        </w:rPr>
        <w:t>-</w:t>
      </w:r>
      <w:r w:rsidRPr="00785FBE">
        <w:rPr>
          <w:rFonts w:ascii="Times New Roman" w:eastAsia="MinionPro-Regular" w:hAnsi="Times New Roman" w:cs="Times New Roman"/>
        </w:rPr>
        <w:t>168</w:t>
      </w:r>
      <w:r>
        <w:rPr>
          <w:rFonts w:ascii="Times New Roman" w:eastAsia="MinionPro-Regular" w:hAnsi="Times New Roman" w:cs="Times New Roman"/>
        </w:rPr>
        <w:t>.</w:t>
      </w:r>
    </w:p>
    <w:p w14:paraId="679F524A" w14:textId="77777777" w:rsidR="0056546F" w:rsidRDefault="006E7AEB" w:rsidP="00BB00AF">
      <w:pPr>
        <w:autoSpaceDE w:val="0"/>
        <w:autoSpaceDN w:val="0"/>
        <w:adjustRightInd w:val="0"/>
        <w:spacing w:after="120" w:line="240" w:lineRule="auto"/>
        <w:jc w:val="both"/>
        <w:rPr>
          <w:rFonts w:ascii="Times New Roman" w:eastAsia="MinionPro-Regular" w:hAnsi="Times New Roman" w:cs="Times New Roman"/>
        </w:rPr>
      </w:pPr>
      <w:r w:rsidRPr="006E7AEB">
        <w:rPr>
          <w:rFonts w:ascii="Times New Roman" w:eastAsia="MinionPro-Regular" w:hAnsi="Times New Roman" w:cs="Times New Roman"/>
        </w:rPr>
        <w:t>Fama, E. F. (1970). Efficient capital markets: A review of theory and empirical work. Journal of Finance, 25(2), 383-417.</w:t>
      </w:r>
    </w:p>
    <w:p w14:paraId="6624C55C" w14:textId="77777777" w:rsidR="006D43FE" w:rsidRPr="006D43FE" w:rsidRDefault="006D43FE" w:rsidP="006D43FE">
      <w:pPr>
        <w:autoSpaceDE w:val="0"/>
        <w:autoSpaceDN w:val="0"/>
        <w:adjustRightInd w:val="0"/>
        <w:spacing w:after="120" w:line="240" w:lineRule="auto"/>
        <w:jc w:val="both"/>
        <w:rPr>
          <w:rFonts w:ascii="Times New Roman" w:eastAsia="MinionPro-Regular" w:hAnsi="Times New Roman" w:cs="Times New Roman"/>
        </w:rPr>
      </w:pPr>
      <w:r w:rsidRPr="006D43FE">
        <w:rPr>
          <w:rFonts w:ascii="Times New Roman" w:eastAsia="MinionPro-Regular" w:hAnsi="Times New Roman" w:cs="Times New Roman"/>
        </w:rPr>
        <w:t>Fama, E.F., French, K.R. (1988). “Dividend yields and expected stock returns.” Journal of Financial</w:t>
      </w:r>
    </w:p>
    <w:p w14:paraId="2BB44A84" w14:textId="77777777" w:rsidR="006D43FE" w:rsidRDefault="006D43FE" w:rsidP="006D43FE">
      <w:pPr>
        <w:autoSpaceDE w:val="0"/>
        <w:autoSpaceDN w:val="0"/>
        <w:adjustRightInd w:val="0"/>
        <w:spacing w:after="120" w:line="240" w:lineRule="auto"/>
        <w:jc w:val="both"/>
        <w:rPr>
          <w:rFonts w:ascii="Times New Roman" w:eastAsia="MinionPro-Regular" w:hAnsi="Times New Roman" w:cs="Times New Roman"/>
        </w:rPr>
      </w:pPr>
      <w:r w:rsidRPr="006D43FE">
        <w:rPr>
          <w:rFonts w:ascii="Times New Roman" w:eastAsia="MinionPro-Regular" w:hAnsi="Times New Roman" w:cs="Times New Roman"/>
        </w:rPr>
        <w:t>Economics 22, 3–25.</w:t>
      </w:r>
    </w:p>
    <w:p w14:paraId="3E9B799A" w14:textId="77777777" w:rsidR="0056546F" w:rsidRDefault="0056546F" w:rsidP="006D43FE">
      <w:pPr>
        <w:autoSpaceDE w:val="0"/>
        <w:autoSpaceDN w:val="0"/>
        <w:adjustRightInd w:val="0"/>
        <w:spacing w:after="120" w:line="240" w:lineRule="auto"/>
        <w:jc w:val="both"/>
        <w:rPr>
          <w:rFonts w:ascii="Times New Roman" w:eastAsia="MinionPro-Regular" w:hAnsi="Times New Roman" w:cs="Times New Roman"/>
        </w:rPr>
      </w:pPr>
      <w:r w:rsidRPr="0056546F">
        <w:rPr>
          <w:rFonts w:ascii="Times New Roman" w:eastAsia="MinionPro-Regular" w:hAnsi="Times New Roman" w:cs="Times New Roman"/>
        </w:rPr>
        <w:t>Fama, E.F. (1991). “Efficient capital markets: II.” Journal of Finance 46, 1575–1617.</w:t>
      </w:r>
    </w:p>
    <w:p w14:paraId="6D94E601" w14:textId="77777777" w:rsidR="00CB4EB7" w:rsidRDefault="00CB4EB7" w:rsidP="00CB4EB7">
      <w:pPr>
        <w:autoSpaceDE w:val="0"/>
        <w:autoSpaceDN w:val="0"/>
        <w:adjustRightInd w:val="0"/>
        <w:spacing w:after="120" w:line="240" w:lineRule="auto"/>
        <w:jc w:val="both"/>
        <w:rPr>
          <w:rFonts w:ascii="Times New Roman" w:eastAsia="MinionPro-Regular" w:hAnsi="Times New Roman" w:cs="Times New Roman"/>
        </w:rPr>
      </w:pPr>
      <w:r w:rsidRPr="00CB4EB7">
        <w:rPr>
          <w:rFonts w:ascii="Times New Roman" w:eastAsia="MinionPro-Regular" w:hAnsi="Times New Roman" w:cs="Times New Roman"/>
        </w:rPr>
        <w:t>Dangl, T., Halling, M. (2012). “Predictive regressions with time-varying coefficients.” Journal of</w:t>
      </w:r>
      <w:r>
        <w:rPr>
          <w:rFonts w:ascii="Times New Roman" w:eastAsia="MinionPro-Regular" w:hAnsi="Times New Roman" w:cs="Times New Roman"/>
        </w:rPr>
        <w:t xml:space="preserve"> </w:t>
      </w:r>
      <w:r w:rsidRPr="00CB4EB7">
        <w:rPr>
          <w:rFonts w:ascii="Times New Roman" w:eastAsia="MinionPro-Regular" w:hAnsi="Times New Roman" w:cs="Times New Roman"/>
        </w:rPr>
        <w:t>Financial Economics, forthcoming</w:t>
      </w:r>
    </w:p>
    <w:p w14:paraId="0448A522" w14:textId="77777777" w:rsidR="00282649" w:rsidRDefault="00282649" w:rsidP="00BB00AF">
      <w:pPr>
        <w:autoSpaceDE w:val="0"/>
        <w:autoSpaceDN w:val="0"/>
        <w:adjustRightInd w:val="0"/>
        <w:spacing w:after="120" w:line="240" w:lineRule="auto"/>
        <w:jc w:val="both"/>
        <w:rPr>
          <w:rFonts w:ascii="Times New Roman" w:eastAsia="MinionPro-Regular" w:hAnsi="Times New Roman" w:cs="Times New Roman"/>
        </w:rPr>
      </w:pPr>
      <w:r w:rsidRPr="00282649">
        <w:rPr>
          <w:rFonts w:ascii="Times New Roman" w:eastAsia="MinionPro-Regular" w:hAnsi="Times New Roman" w:cs="Times New Roman"/>
        </w:rPr>
        <w:t>Dionisio</w:t>
      </w:r>
      <w:r>
        <w:rPr>
          <w:rFonts w:ascii="Times New Roman" w:eastAsia="MinionPro-Regular" w:hAnsi="Times New Roman" w:cs="Times New Roman"/>
        </w:rPr>
        <w:t xml:space="preserve"> A.</w:t>
      </w:r>
      <w:r w:rsidRPr="00282649">
        <w:rPr>
          <w:rFonts w:ascii="Times New Roman" w:eastAsia="MinionPro-Regular" w:hAnsi="Times New Roman" w:cs="Times New Roman"/>
        </w:rPr>
        <w:t>, Menezes</w:t>
      </w:r>
      <w:r>
        <w:rPr>
          <w:rFonts w:ascii="Times New Roman" w:eastAsia="MinionPro-Regular" w:hAnsi="Times New Roman" w:cs="Times New Roman"/>
        </w:rPr>
        <w:t xml:space="preserve"> R.</w:t>
      </w:r>
      <w:r w:rsidRPr="00282649">
        <w:rPr>
          <w:rFonts w:ascii="Times New Roman" w:eastAsia="MinionPro-Regular" w:hAnsi="Times New Roman" w:cs="Times New Roman"/>
        </w:rPr>
        <w:t xml:space="preserve">, </w:t>
      </w:r>
      <w:r>
        <w:rPr>
          <w:rFonts w:ascii="Times New Roman" w:eastAsia="MinionPro-Regular" w:hAnsi="Times New Roman" w:cs="Times New Roman"/>
        </w:rPr>
        <w:t xml:space="preserve">&amp; </w:t>
      </w:r>
      <w:r w:rsidRPr="00282649">
        <w:rPr>
          <w:rFonts w:ascii="Times New Roman" w:eastAsia="MinionPro-Regular" w:hAnsi="Times New Roman" w:cs="Times New Roman"/>
        </w:rPr>
        <w:t>Mendes</w:t>
      </w:r>
      <w:r>
        <w:rPr>
          <w:rFonts w:ascii="Times New Roman" w:eastAsia="MinionPro-Regular" w:hAnsi="Times New Roman" w:cs="Times New Roman"/>
        </w:rPr>
        <w:t xml:space="preserve"> A. D</w:t>
      </w:r>
      <w:r w:rsidRPr="00282649">
        <w:rPr>
          <w:rFonts w:ascii="Times New Roman" w:eastAsia="MinionPro-Regular" w:hAnsi="Times New Roman" w:cs="Times New Roman"/>
        </w:rPr>
        <w:t xml:space="preserve">. </w:t>
      </w:r>
      <w:r>
        <w:rPr>
          <w:rFonts w:ascii="Times New Roman" w:eastAsia="MinionPro-Regular" w:hAnsi="Times New Roman" w:cs="Times New Roman"/>
        </w:rPr>
        <w:t xml:space="preserve">(2006). </w:t>
      </w:r>
      <w:r w:rsidRPr="00282649">
        <w:rPr>
          <w:rFonts w:ascii="Times New Roman" w:eastAsia="MinionPro-Regular" w:hAnsi="Times New Roman" w:cs="Times New Roman"/>
        </w:rPr>
        <w:t>An econophysics approach to analyse uncertainty in financial markets: an application to the portuguese stock market. The European Physical Journal B-Condensed Matter and Complex Systems, 50(1-2</w:t>
      </w:r>
      <w:r>
        <w:rPr>
          <w:rFonts w:ascii="Times New Roman" w:eastAsia="MinionPro-Regular" w:hAnsi="Times New Roman" w:cs="Times New Roman"/>
        </w:rPr>
        <w:t>).</w:t>
      </w:r>
    </w:p>
    <w:p w14:paraId="71F3CB10" w14:textId="77777777" w:rsidR="003833B0" w:rsidRPr="003833B0" w:rsidRDefault="003833B0" w:rsidP="003833B0">
      <w:pPr>
        <w:autoSpaceDE w:val="0"/>
        <w:autoSpaceDN w:val="0"/>
        <w:adjustRightInd w:val="0"/>
        <w:spacing w:after="120" w:line="240" w:lineRule="auto"/>
        <w:jc w:val="both"/>
        <w:rPr>
          <w:rFonts w:ascii="Times New Roman" w:eastAsia="MinionPro-Regular" w:hAnsi="Times New Roman" w:cs="Times New Roman"/>
        </w:rPr>
      </w:pPr>
      <w:r w:rsidRPr="003833B0">
        <w:rPr>
          <w:rFonts w:ascii="Times New Roman" w:eastAsia="MinionPro-Regular" w:hAnsi="Times New Roman" w:cs="Times New Roman"/>
        </w:rPr>
        <w:t>Driesprong, G., Jacobsen, B., Maat, B. (2008).</w:t>
      </w:r>
      <w:r>
        <w:rPr>
          <w:rFonts w:ascii="Times New Roman" w:eastAsia="MinionPro-Regular" w:hAnsi="Times New Roman" w:cs="Times New Roman"/>
        </w:rPr>
        <w:t xml:space="preserve"> </w:t>
      </w:r>
      <w:r w:rsidR="0056546F" w:rsidRPr="0056546F">
        <w:rPr>
          <w:rFonts w:ascii="Times New Roman" w:eastAsia="MinionPro-Regular" w:hAnsi="Times New Roman" w:cs="Times New Roman"/>
        </w:rPr>
        <w:t>“</w:t>
      </w:r>
      <w:r w:rsidRPr="003833B0">
        <w:rPr>
          <w:rFonts w:ascii="Times New Roman" w:eastAsia="MinionPro-Regular" w:hAnsi="Times New Roman" w:cs="Times New Roman"/>
        </w:rPr>
        <w:t>Striking oil: another puzzle?” Journal of Financial</w:t>
      </w:r>
    </w:p>
    <w:p w14:paraId="30C20A1E" w14:textId="77777777" w:rsidR="003833B0" w:rsidRDefault="003833B0" w:rsidP="003833B0">
      <w:pPr>
        <w:autoSpaceDE w:val="0"/>
        <w:autoSpaceDN w:val="0"/>
        <w:adjustRightInd w:val="0"/>
        <w:spacing w:after="120" w:line="240" w:lineRule="auto"/>
        <w:jc w:val="both"/>
        <w:rPr>
          <w:rFonts w:ascii="Times New Roman" w:eastAsia="MinionPro-Regular" w:hAnsi="Times New Roman" w:cs="Times New Roman"/>
        </w:rPr>
      </w:pPr>
      <w:r w:rsidRPr="003833B0">
        <w:rPr>
          <w:rFonts w:ascii="Times New Roman" w:eastAsia="MinionPro-Regular" w:hAnsi="Times New Roman" w:cs="Times New Roman"/>
        </w:rPr>
        <w:t>Economics 89, 307–327.</w:t>
      </w:r>
    </w:p>
    <w:p w14:paraId="1F0AEA8E" w14:textId="77777777" w:rsidR="00245E04" w:rsidRDefault="00245E04" w:rsidP="00BB00AF">
      <w:pPr>
        <w:autoSpaceDE w:val="0"/>
        <w:autoSpaceDN w:val="0"/>
        <w:adjustRightInd w:val="0"/>
        <w:spacing w:after="120" w:line="240" w:lineRule="auto"/>
        <w:jc w:val="both"/>
        <w:rPr>
          <w:rFonts w:ascii="Times New Roman" w:eastAsia="MinionPro-Regular" w:hAnsi="Times New Roman" w:cs="Times New Roman"/>
        </w:rPr>
      </w:pPr>
      <w:r w:rsidRPr="00245E04">
        <w:rPr>
          <w:rFonts w:ascii="Times New Roman" w:eastAsia="MinionPro-Regular" w:hAnsi="Times New Roman" w:cs="Times New Roman"/>
        </w:rPr>
        <w:t>Drenovak, M. (2021). Modeliranje i upravljanje rizicima. Ekonomski fakultet Univerziteta u Kragujevcu.</w:t>
      </w:r>
    </w:p>
    <w:p w14:paraId="00D51245" w14:textId="77777777" w:rsidR="00262410" w:rsidRDefault="00AF679C" w:rsidP="00BB00AF">
      <w:pPr>
        <w:autoSpaceDE w:val="0"/>
        <w:autoSpaceDN w:val="0"/>
        <w:adjustRightInd w:val="0"/>
        <w:spacing w:after="120" w:line="240" w:lineRule="auto"/>
        <w:jc w:val="both"/>
        <w:rPr>
          <w:rFonts w:ascii="Times New Roman" w:eastAsia="MinionPro-Regular" w:hAnsi="Times New Roman" w:cs="Times New Roman"/>
        </w:rPr>
      </w:pPr>
      <w:r>
        <w:rPr>
          <w:rFonts w:ascii="Times New Roman" w:eastAsia="MinionPro-Regular" w:hAnsi="Times New Roman" w:cs="Times New Roman"/>
        </w:rPr>
        <w:lastRenderedPageBreak/>
        <w:t xml:space="preserve">Dutta, A. (2012). </w:t>
      </w:r>
      <w:r w:rsidRPr="00AF679C">
        <w:rPr>
          <w:rFonts w:ascii="Times New Roman" w:eastAsia="MinionPro-Regular" w:hAnsi="Times New Roman" w:cs="Times New Roman"/>
        </w:rPr>
        <w:t>Prediction of Stock Performance in the Indian Stock Market Using Logistic Regression</w:t>
      </w:r>
      <w:r>
        <w:rPr>
          <w:rFonts w:ascii="Times New Roman" w:eastAsia="MinionPro-Regular" w:hAnsi="Times New Roman" w:cs="Times New Roman"/>
        </w:rPr>
        <w:t xml:space="preserve">. </w:t>
      </w:r>
      <w:r w:rsidRPr="00AF679C">
        <w:rPr>
          <w:rFonts w:ascii="Times New Roman" w:eastAsia="MinionPro-Regular" w:hAnsi="Times New Roman" w:cs="Times New Roman"/>
        </w:rPr>
        <w:t>International Journal of Business and Information; Sansia Vol. 7, Iss. 1,</w:t>
      </w:r>
      <w:r>
        <w:rPr>
          <w:rFonts w:ascii="Times New Roman" w:eastAsia="MinionPro-Regular" w:hAnsi="Times New Roman" w:cs="Times New Roman"/>
        </w:rPr>
        <w:t xml:space="preserve"> </w:t>
      </w:r>
      <w:r w:rsidRPr="00AF679C">
        <w:rPr>
          <w:rFonts w:ascii="Times New Roman" w:eastAsia="MinionPro-Regular" w:hAnsi="Times New Roman" w:cs="Times New Roman"/>
        </w:rPr>
        <w:t>105-136.</w:t>
      </w:r>
    </w:p>
    <w:p w14:paraId="092A9BE4" w14:textId="77777777" w:rsidR="00754FCC" w:rsidRDefault="00754FCC" w:rsidP="00754FCC">
      <w:pPr>
        <w:autoSpaceDE w:val="0"/>
        <w:autoSpaceDN w:val="0"/>
        <w:adjustRightInd w:val="0"/>
        <w:spacing w:after="120" w:line="240" w:lineRule="auto"/>
        <w:jc w:val="both"/>
        <w:rPr>
          <w:rFonts w:ascii="Times New Roman" w:eastAsia="MinionPro-Regular" w:hAnsi="Times New Roman" w:cs="Times New Roman"/>
        </w:rPr>
      </w:pPr>
      <w:r w:rsidRPr="00754FCC">
        <w:rPr>
          <w:rFonts w:ascii="Times New Roman" w:eastAsia="MinionPro-Regular" w:hAnsi="Times New Roman" w:cs="Times New Roman"/>
        </w:rPr>
        <w:t>Guan</w:t>
      </w:r>
      <w:r>
        <w:rPr>
          <w:rFonts w:ascii="Times New Roman" w:eastAsia="MinionPro-Regular" w:hAnsi="Times New Roman" w:cs="Times New Roman"/>
        </w:rPr>
        <w:t xml:space="preserve"> </w:t>
      </w:r>
      <w:r w:rsidRPr="00754FCC">
        <w:rPr>
          <w:rFonts w:ascii="Times New Roman" w:eastAsia="MinionPro-Regular" w:hAnsi="Times New Roman" w:cs="Times New Roman"/>
        </w:rPr>
        <w:t>H.</w:t>
      </w:r>
      <w:r>
        <w:rPr>
          <w:rFonts w:ascii="Times New Roman" w:eastAsia="MinionPro-Regular" w:hAnsi="Times New Roman" w:cs="Times New Roman"/>
        </w:rPr>
        <w:t>,</w:t>
      </w:r>
      <w:r w:rsidRPr="00754FCC">
        <w:rPr>
          <w:rFonts w:ascii="Times New Roman" w:eastAsia="MinionPro-Regular" w:hAnsi="Times New Roman" w:cs="Times New Roman"/>
        </w:rPr>
        <w:t xml:space="preserve"> Dai</w:t>
      </w:r>
      <w:r>
        <w:rPr>
          <w:rFonts w:ascii="Times New Roman" w:eastAsia="MinionPro-Regular" w:hAnsi="Times New Roman" w:cs="Times New Roman"/>
        </w:rPr>
        <w:t xml:space="preserve"> </w:t>
      </w:r>
      <w:r w:rsidRPr="00754FCC">
        <w:rPr>
          <w:rFonts w:ascii="Times New Roman" w:eastAsia="MinionPro-Regular" w:hAnsi="Times New Roman" w:cs="Times New Roman"/>
        </w:rPr>
        <w:t>Z.</w:t>
      </w:r>
      <w:r>
        <w:rPr>
          <w:rFonts w:ascii="Times New Roman" w:eastAsia="MinionPro-Regular" w:hAnsi="Times New Roman" w:cs="Times New Roman"/>
        </w:rPr>
        <w:t>,</w:t>
      </w:r>
      <w:r w:rsidRPr="00754FCC">
        <w:rPr>
          <w:rFonts w:ascii="Times New Roman" w:eastAsia="MinionPro-Regular" w:hAnsi="Times New Roman" w:cs="Times New Roman"/>
        </w:rPr>
        <w:t xml:space="preserve"> Zhao</w:t>
      </w:r>
      <w:r>
        <w:rPr>
          <w:rFonts w:ascii="Times New Roman" w:eastAsia="MinionPro-Regular" w:hAnsi="Times New Roman" w:cs="Times New Roman"/>
        </w:rPr>
        <w:t xml:space="preserve"> </w:t>
      </w:r>
      <w:r w:rsidRPr="00754FCC">
        <w:rPr>
          <w:rFonts w:ascii="Times New Roman" w:eastAsia="MinionPro-Regular" w:hAnsi="Times New Roman" w:cs="Times New Roman"/>
        </w:rPr>
        <w:t>A.</w:t>
      </w:r>
      <w:r>
        <w:rPr>
          <w:rFonts w:ascii="Times New Roman" w:eastAsia="MinionPro-Regular" w:hAnsi="Times New Roman" w:cs="Times New Roman"/>
        </w:rPr>
        <w:t>,</w:t>
      </w:r>
      <w:r w:rsidRPr="00754FCC">
        <w:rPr>
          <w:rFonts w:ascii="Times New Roman" w:eastAsia="MinionPro-Regular" w:hAnsi="Times New Roman" w:cs="Times New Roman"/>
        </w:rPr>
        <w:t xml:space="preserve"> He</w:t>
      </w:r>
      <w:r>
        <w:rPr>
          <w:rFonts w:ascii="Times New Roman" w:eastAsia="MinionPro-Regular" w:hAnsi="Times New Roman" w:cs="Times New Roman"/>
        </w:rPr>
        <w:t xml:space="preserve"> </w:t>
      </w:r>
      <w:r w:rsidRPr="00754FCC">
        <w:rPr>
          <w:rFonts w:ascii="Times New Roman" w:eastAsia="MinionPro-Regular" w:hAnsi="Times New Roman" w:cs="Times New Roman"/>
        </w:rPr>
        <w:t xml:space="preserve">J. </w:t>
      </w:r>
      <w:r>
        <w:rPr>
          <w:rFonts w:ascii="Times New Roman" w:eastAsia="MinionPro-Regular" w:hAnsi="Times New Roman" w:cs="Times New Roman"/>
        </w:rPr>
        <w:t xml:space="preserve">(2018). </w:t>
      </w:r>
      <w:r w:rsidRPr="00754FCC">
        <w:rPr>
          <w:rFonts w:ascii="Times New Roman" w:eastAsia="MinionPro-Regular" w:hAnsi="Times New Roman" w:cs="Times New Roman"/>
        </w:rPr>
        <w:t>A novel stock forecasting model based on high-order-fuzzy-fluctuation</w:t>
      </w:r>
      <w:r>
        <w:rPr>
          <w:rFonts w:ascii="Times New Roman" w:eastAsia="MinionPro-Regular" w:hAnsi="Times New Roman" w:cs="Times New Roman"/>
        </w:rPr>
        <w:t xml:space="preserve"> </w:t>
      </w:r>
      <w:r w:rsidRPr="00754FCC">
        <w:rPr>
          <w:rFonts w:ascii="Times New Roman" w:eastAsia="MinionPro-Regular" w:hAnsi="Times New Roman" w:cs="Times New Roman"/>
        </w:rPr>
        <w:t>trends and back propagation neural network. PLoS ONE 2018, 13</w:t>
      </w:r>
      <w:r>
        <w:rPr>
          <w:rFonts w:ascii="Times New Roman" w:eastAsia="MinionPro-Regular" w:hAnsi="Times New Roman" w:cs="Times New Roman"/>
        </w:rPr>
        <w:t>.</w:t>
      </w:r>
    </w:p>
    <w:p w14:paraId="42AB1D7F" w14:textId="77777777" w:rsidR="00190385" w:rsidRPr="00190385" w:rsidRDefault="00190385" w:rsidP="00190385">
      <w:pPr>
        <w:autoSpaceDE w:val="0"/>
        <w:autoSpaceDN w:val="0"/>
        <w:adjustRightInd w:val="0"/>
        <w:spacing w:after="120" w:line="240" w:lineRule="auto"/>
        <w:jc w:val="both"/>
        <w:rPr>
          <w:rFonts w:ascii="Times New Roman" w:eastAsia="MinionPro-Regular" w:hAnsi="Times New Roman" w:cs="Times New Roman"/>
        </w:rPr>
      </w:pPr>
      <w:r w:rsidRPr="00190385">
        <w:rPr>
          <w:rFonts w:ascii="Times New Roman" w:eastAsia="MinionPro-Regular" w:hAnsi="Times New Roman" w:cs="Times New Roman"/>
        </w:rPr>
        <w:t>Guo, H. (2006). “On the out-of-sample predictability of stock market returns.” Journal of Business</w:t>
      </w:r>
    </w:p>
    <w:p w14:paraId="399761CC" w14:textId="77777777" w:rsidR="00754FCC" w:rsidRDefault="00190385" w:rsidP="00190385">
      <w:pPr>
        <w:autoSpaceDE w:val="0"/>
        <w:autoSpaceDN w:val="0"/>
        <w:adjustRightInd w:val="0"/>
        <w:spacing w:after="120" w:line="240" w:lineRule="auto"/>
        <w:jc w:val="both"/>
        <w:rPr>
          <w:rFonts w:ascii="Times New Roman" w:eastAsia="MinionPro-Regular" w:hAnsi="Times New Roman" w:cs="Times New Roman"/>
        </w:rPr>
      </w:pPr>
      <w:r w:rsidRPr="00190385">
        <w:rPr>
          <w:rFonts w:ascii="Times New Roman" w:eastAsia="MinionPro-Regular" w:hAnsi="Times New Roman" w:cs="Times New Roman"/>
        </w:rPr>
        <w:t>79, 645–670.</w:t>
      </w:r>
    </w:p>
    <w:p w14:paraId="7F8FAA5E" w14:textId="77777777" w:rsidR="00A12311" w:rsidRDefault="00A12311" w:rsidP="00A12311">
      <w:pPr>
        <w:autoSpaceDE w:val="0"/>
        <w:autoSpaceDN w:val="0"/>
        <w:adjustRightInd w:val="0"/>
        <w:spacing w:after="120" w:line="240" w:lineRule="auto"/>
        <w:jc w:val="both"/>
        <w:rPr>
          <w:rFonts w:ascii="Times New Roman" w:eastAsia="MinionPro-Regular" w:hAnsi="Times New Roman" w:cs="Times New Roman"/>
        </w:rPr>
      </w:pPr>
      <w:r w:rsidRPr="00A12311">
        <w:rPr>
          <w:rFonts w:ascii="Times New Roman" w:eastAsia="MinionPro-Regular" w:hAnsi="Times New Roman" w:cs="Times New Roman"/>
        </w:rPr>
        <w:t>Guidolin, M., Timmermann, A. (2007). “Asset allocation under multivariate regime switching.”</w:t>
      </w:r>
      <w:r>
        <w:rPr>
          <w:rFonts w:ascii="Times New Roman" w:eastAsia="MinionPro-Regular" w:hAnsi="Times New Roman" w:cs="Times New Roman"/>
        </w:rPr>
        <w:t xml:space="preserve"> </w:t>
      </w:r>
      <w:r w:rsidRPr="00A12311">
        <w:rPr>
          <w:rFonts w:ascii="Times New Roman" w:eastAsia="MinionPro-Regular" w:hAnsi="Times New Roman" w:cs="Times New Roman"/>
        </w:rPr>
        <w:t>Journal of Economic Dynamics and Control 31, 3503–3544.</w:t>
      </w:r>
    </w:p>
    <w:p w14:paraId="4587E17E" w14:textId="77777777" w:rsidR="009D4F01" w:rsidRPr="00CB4EB7" w:rsidRDefault="009D4F01" w:rsidP="00CB4EB7">
      <w:pPr>
        <w:autoSpaceDE w:val="0"/>
        <w:autoSpaceDN w:val="0"/>
        <w:adjustRightInd w:val="0"/>
        <w:spacing w:after="120" w:line="240" w:lineRule="auto"/>
        <w:jc w:val="both"/>
        <w:rPr>
          <w:rFonts w:ascii="Times New Roman" w:eastAsia="MinionPro-Regular" w:hAnsi="Times New Roman" w:cs="Times New Roman"/>
        </w:rPr>
      </w:pPr>
      <w:r w:rsidRPr="00CB4EB7">
        <w:rPr>
          <w:rFonts w:ascii="Times New Roman" w:eastAsia="MinionPro-Regular" w:hAnsi="Times New Roman" w:cs="Times New Roman"/>
        </w:rPr>
        <w:t>Henkel, S.J., Martin, J.S., Nadari, F. (2011). “Time-varying short-horizon predictability.” Journal of Financial Economics 99, 560–580.</w:t>
      </w:r>
    </w:p>
    <w:p w14:paraId="08E276AB" w14:textId="77777777" w:rsidR="00CB4EB7" w:rsidRPr="00CB4EB7" w:rsidRDefault="00CB4EB7" w:rsidP="00CB4EB7">
      <w:pPr>
        <w:autoSpaceDE w:val="0"/>
        <w:autoSpaceDN w:val="0"/>
        <w:adjustRightInd w:val="0"/>
        <w:spacing w:after="120" w:line="240" w:lineRule="auto"/>
        <w:rPr>
          <w:rFonts w:ascii="Times New Roman" w:hAnsi="Times New Roman" w:cs="Times New Roman"/>
        </w:rPr>
      </w:pPr>
      <w:r w:rsidRPr="00CB4EB7">
        <w:rPr>
          <w:rFonts w:ascii="Times New Roman" w:hAnsi="Times New Roman" w:cs="Times New Roman"/>
        </w:rPr>
        <w:t>Kelly, B., Pruitt, S. (2012). “Market expectations in the cross section of present values.” University of Chicago Booth School of Business Working Paper No. 11-08.</w:t>
      </w:r>
    </w:p>
    <w:p w14:paraId="72EF3411" w14:textId="77777777" w:rsidR="00325E75" w:rsidRPr="00CB4EB7" w:rsidRDefault="00325E75" w:rsidP="00CB4EB7">
      <w:pPr>
        <w:autoSpaceDE w:val="0"/>
        <w:autoSpaceDN w:val="0"/>
        <w:adjustRightInd w:val="0"/>
        <w:spacing w:after="120" w:line="240" w:lineRule="auto"/>
        <w:jc w:val="both"/>
        <w:rPr>
          <w:rFonts w:ascii="Times New Roman" w:eastAsia="MinionPro-Regular" w:hAnsi="Times New Roman" w:cs="Times New Roman"/>
        </w:rPr>
      </w:pPr>
      <w:r w:rsidRPr="00CB4EB7">
        <w:rPr>
          <w:rFonts w:ascii="Times New Roman" w:eastAsia="MinionPro-Regular" w:hAnsi="Times New Roman" w:cs="Times New Roman"/>
        </w:rPr>
        <w:t>Khan U, Aadil F, Ghazanfar MA, Khan S, Metawa N, Muhammad K, Mehmood I, Nam Y. (2018). A Robust Regression-Based Stock Exchange Forecasting and Determination of Correlation between Stock Markets. Sustainability. 10(10):3702.</w:t>
      </w:r>
    </w:p>
    <w:p w14:paraId="5DAD67FC" w14:textId="77777777" w:rsidR="00CB4EB7" w:rsidRPr="00CB4EB7" w:rsidRDefault="00CB4EB7" w:rsidP="00CB4EB7">
      <w:pPr>
        <w:autoSpaceDE w:val="0"/>
        <w:autoSpaceDN w:val="0"/>
        <w:adjustRightInd w:val="0"/>
        <w:spacing w:after="120" w:line="240" w:lineRule="auto"/>
        <w:rPr>
          <w:rFonts w:ascii="Times New Roman" w:hAnsi="Times New Roman" w:cs="Times New Roman"/>
        </w:rPr>
      </w:pPr>
      <w:r w:rsidRPr="00CB4EB7">
        <w:rPr>
          <w:rFonts w:ascii="Times New Roman" w:hAnsi="Times New Roman" w:cs="Times New Roman"/>
        </w:rPr>
        <w:t>Ludvigson, S.C., Ng, S. (2007). “The empirical risk-return relation: a factor analysis approach.”</w:t>
      </w:r>
      <w:r>
        <w:rPr>
          <w:rFonts w:ascii="Times New Roman" w:hAnsi="Times New Roman" w:cs="Times New Roman"/>
        </w:rPr>
        <w:t xml:space="preserve"> </w:t>
      </w:r>
      <w:r w:rsidRPr="00CB4EB7">
        <w:rPr>
          <w:rFonts w:ascii="Times New Roman" w:hAnsi="Times New Roman" w:cs="Times New Roman"/>
        </w:rPr>
        <w:t>Journal of Financial Economics 83, 171–222.</w:t>
      </w:r>
    </w:p>
    <w:p w14:paraId="607B1978" w14:textId="77777777" w:rsidR="00FB320C" w:rsidRDefault="00FB320C" w:rsidP="00BB00AF">
      <w:pPr>
        <w:autoSpaceDE w:val="0"/>
        <w:autoSpaceDN w:val="0"/>
        <w:adjustRightInd w:val="0"/>
        <w:spacing w:after="120" w:line="240" w:lineRule="auto"/>
        <w:jc w:val="both"/>
        <w:rPr>
          <w:rFonts w:ascii="Times New Roman" w:eastAsia="MinionPro-Regular" w:hAnsi="Times New Roman" w:cs="Times New Roman"/>
        </w:rPr>
      </w:pPr>
      <w:r w:rsidRPr="00FB320C">
        <w:rPr>
          <w:rFonts w:ascii="Times New Roman" w:eastAsia="MinionPro-Regular" w:hAnsi="Times New Roman" w:cs="Times New Roman"/>
        </w:rPr>
        <w:t>Meeker, E. (1922), The Work of the Stock Exchange,</w:t>
      </w:r>
      <w:r w:rsidR="0017673D">
        <w:rPr>
          <w:rFonts w:ascii="Times New Roman" w:eastAsia="MinionPro-Regular" w:hAnsi="Times New Roman" w:cs="Times New Roman"/>
        </w:rPr>
        <w:t xml:space="preserve"> </w:t>
      </w:r>
      <w:r w:rsidRPr="00FB320C">
        <w:rPr>
          <w:rFonts w:ascii="Times New Roman" w:eastAsia="MinionPro-Regular" w:hAnsi="Times New Roman" w:cs="Times New Roman"/>
        </w:rPr>
        <w:t xml:space="preserve">The Royal Press Company, New York. </w:t>
      </w:r>
    </w:p>
    <w:p w14:paraId="6D8CF226" w14:textId="77777777" w:rsidR="00027FCD" w:rsidRDefault="00027FCD" w:rsidP="00BB00AF">
      <w:pPr>
        <w:autoSpaceDE w:val="0"/>
        <w:autoSpaceDN w:val="0"/>
        <w:adjustRightInd w:val="0"/>
        <w:spacing w:after="120" w:line="240" w:lineRule="auto"/>
        <w:jc w:val="both"/>
        <w:rPr>
          <w:rFonts w:ascii="Times New Roman" w:hAnsi="Times New Roman" w:cs="Times New Roman"/>
        </w:rPr>
      </w:pPr>
      <w:r w:rsidRPr="00027FCD">
        <w:rPr>
          <w:rFonts w:ascii="Times New Roman" w:hAnsi="Times New Roman" w:cs="Times New Roman"/>
        </w:rPr>
        <w:t>Mukherji, S., Dhatt,</w:t>
      </w:r>
      <w:r w:rsidR="0017673D">
        <w:rPr>
          <w:rFonts w:ascii="Times New Roman" w:hAnsi="Times New Roman" w:cs="Times New Roman"/>
        </w:rPr>
        <w:t xml:space="preserve"> </w:t>
      </w:r>
      <w:r w:rsidRPr="00027FCD">
        <w:rPr>
          <w:rFonts w:ascii="Times New Roman" w:hAnsi="Times New Roman" w:cs="Times New Roman"/>
        </w:rPr>
        <w:t>M. S.,</w:t>
      </w:r>
      <w:r w:rsidR="0017673D">
        <w:rPr>
          <w:rFonts w:ascii="Times New Roman" w:hAnsi="Times New Roman" w:cs="Times New Roman"/>
        </w:rPr>
        <w:t xml:space="preserve"> </w:t>
      </w:r>
      <w:r w:rsidRPr="00027FCD">
        <w:rPr>
          <w:rFonts w:ascii="Times New Roman" w:hAnsi="Times New Roman" w:cs="Times New Roman"/>
        </w:rPr>
        <w:t xml:space="preserve">&amp; Kim, Y.H. (1997). A Fundamental Analysis of Korean stock returns. </w:t>
      </w:r>
      <w:r w:rsidRPr="00027FCD">
        <w:rPr>
          <w:rFonts w:ascii="Times New Roman" w:hAnsi="Times New Roman" w:cs="Times New Roman"/>
          <w:i/>
          <w:iCs/>
        </w:rPr>
        <w:t>Financial Analysts Journal</w:t>
      </w:r>
      <w:r w:rsidRPr="00027FCD">
        <w:rPr>
          <w:rFonts w:ascii="Times New Roman" w:hAnsi="Times New Roman" w:cs="Times New Roman"/>
        </w:rPr>
        <w:t>,</w:t>
      </w:r>
      <w:r w:rsidRPr="00027FCD">
        <w:rPr>
          <w:rFonts w:ascii="Times New Roman" w:hAnsi="Times New Roman" w:cs="Times New Roman"/>
          <w:i/>
          <w:iCs/>
        </w:rPr>
        <w:t>53</w:t>
      </w:r>
      <w:r w:rsidRPr="00027FCD">
        <w:rPr>
          <w:rFonts w:ascii="Times New Roman" w:hAnsi="Times New Roman" w:cs="Times New Roman"/>
        </w:rPr>
        <w:t xml:space="preserve">(3), 75-80. </w:t>
      </w:r>
    </w:p>
    <w:p w14:paraId="533288AD" w14:textId="77777777" w:rsidR="00CB4EB7" w:rsidRDefault="00CB4EB7" w:rsidP="00CB4EB7">
      <w:pPr>
        <w:autoSpaceDE w:val="0"/>
        <w:autoSpaceDN w:val="0"/>
        <w:adjustRightInd w:val="0"/>
        <w:spacing w:after="120" w:line="240" w:lineRule="auto"/>
        <w:jc w:val="both"/>
        <w:rPr>
          <w:rFonts w:ascii="Times New Roman" w:hAnsi="Times New Roman" w:cs="Times New Roman"/>
        </w:rPr>
      </w:pPr>
      <w:r w:rsidRPr="00CB4EB7">
        <w:rPr>
          <w:rFonts w:ascii="Times New Roman" w:hAnsi="Times New Roman" w:cs="Times New Roman"/>
        </w:rPr>
        <w:t>Neely, C.J., Rapach, D.E., Tu, J., Zhou, G. (2012). “Forecasting the equity risk premium: the role</w:t>
      </w:r>
      <w:r>
        <w:rPr>
          <w:rFonts w:ascii="Times New Roman" w:hAnsi="Times New Roman" w:cs="Times New Roman"/>
        </w:rPr>
        <w:t xml:space="preserve"> </w:t>
      </w:r>
      <w:r w:rsidRPr="00CB4EB7">
        <w:rPr>
          <w:rFonts w:ascii="Times New Roman" w:hAnsi="Times New Roman" w:cs="Times New Roman"/>
        </w:rPr>
        <w:t>of technical indicators.” Federal Reserve Bank of St. Louis Working Paper 2010-008E.</w:t>
      </w:r>
    </w:p>
    <w:p w14:paraId="54B22BD7" w14:textId="77777777" w:rsidR="00CB4EB7" w:rsidRDefault="00CB4EB7" w:rsidP="00CB4EB7">
      <w:pPr>
        <w:autoSpaceDE w:val="0"/>
        <w:autoSpaceDN w:val="0"/>
        <w:adjustRightInd w:val="0"/>
        <w:spacing w:after="120" w:line="240" w:lineRule="auto"/>
        <w:jc w:val="both"/>
        <w:rPr>
          <w:rFonts w:ascii="Times New Roman" w:hAnsi="Times New Roman" w:cs="Times New Roman"/>
        </w:rPr>
      </w:pPr>
      <w:r w:rsidRPr="00CB4EB7">
        <w:rPr>
          <w:rFonts w:ascii="Times New Roman" w:hAnsi="Times New Roman" w:cs="Times New Roman"/>
        </w:rPr>
        <w:t>Rapach, D.E., Strauss, J.K., Zhou, G. (2010). “Out-of-sample equity premium prediction: combination</w:t>
      </w:r>
      <w:r>
        <w:rPr>
          <w:rFonts w:ascii="Times New Roman" w:hAnsi="Times New Roman" w:cs="Times New Roman"/>
        </w:rPr>
        <w:t xml:space="preserve"> </w:t>
      </w:r>
      <w:r w:rsidRPr="00CB4EB7">
        <w:rPr>
          <w:rFonts w:ascii="Times New Roman" w:hAnsi="Times New Roman" w:cs="Times New Roman"/>
        </w:rPr>
        <w:t>forecasts and links to the real economy.” Review of Financial Studies 23, 821–862.</w:t>
      </w:r>
    </w:p>
    <w:p w14:paraId="5248AC86" w14:textId="77777777" w:rsidR="00BB7D38" w:rsidRPr="00BB7D38" w:rsidRDefault="00BB7D38" w:rsidP="00BB7D38">
      <w:pPr>
        <w:autoSpaceDE w:val="0"/>
        <w:autoSpaceDN w:val="0"/>
        <w:adjustRightInd w:val="0"/>
        <w:spacing w:after="120" w:line="240" w:lineRule="auto"/>
        <w:jc w:val="both"/>
        <w:rPr>
          <w:rFonts w:ascii="Times New Roman" w:eastAsia="MinionPro-Regular" w:hAnsi="Times New Roman" w:cs="Times New Roman"/>
        </w:rPr>
      </w:pPr>
      <w:r w:rsidRPr="00BB7D38">
        <w:rPr>
          <w:rFonts w:ascii="Times New Roman" w:eastAsia="MinionPro-Regular" w:hAnsi="Times New Roman" w:cs="Times New Roman"/>
        </w:rPr>
        <w:t>Rozeff, M.S. (1984). “Dividend yields are equity risk premiums.” Journal of Portfolio Management 11, 68–75.</w:t>
      </w:r>
    </w:p>
    <w:p w14:paraId="490F6D37" w14:textId="77777777" w:rsidR="005A1AA0" w:rsidRDefault="005A1AA0" w:rsidP="00BB00AF">
      <w:pPr>
        <w:autoSpaceDE w:val="0"/>
        <w:autoSpaceDN w:val="0"/>
        <w:adjustRightInd w:val="0"/>
        <w:spacing w:after="120" w:line="240" w:lineRule="auto"/>
        <w:jc w:val="both"/>
        <w:rPr>
          <w:rFonts w:ascii="Times New Roman" w:hAnsi="Times New Roman" w:cs="Times New Roman"/>
        </w:rPr>
      </w:pPr>
      <w:r w:rsidRPr="007256C6">
        <w:rPr>
          <w:rFonts w:ascii="Times New Roman" w:hAnsi="Times New Roman" w:cs="Times New Roman"/>
        </w:rPr>
        <w:t>Tandelilin, E. (2010). Portofolio dan Investasi Teori dan Aplikasi. Yogyakarta: Kanisius.</w:t>
      </w:r>
    </w:p>
    <w:p w14:paraId="6FDDBD54" w14:textId="77777777" w:rsidR="00BB00AF" w:rsidRDefault="00BB00AF" w:rsidP="00BB00AF">
      <w:pPr>
        <w:autoSpaceDE w:val="0"/>
        <w:autoSpaceDN w:val="0"/>
        <w:adjustRightInd w:val="0"/>
        <w:spacing w:after="120" w:line="240" w:lineRule="auto"/>
        <w:jc w:val="both"/>
        <w:rPr>
          <w:rFonts w:ascii="Times New Roman" w:hAnsi="Times New Roman" w:cs="Times New Roman"/>
        </w:rPr>
      </w:pPr>
      <w:r w:rsidRPr="00BB00AF">
        <w:rPr>
          <w:rFonts w:ascii="Times New Roman" w:hAnsi="Times New Roman" w:cs="Times New Roman"/>
        </w:rPr>
        <w:t>Yogaswari D. D., Nugroho A. B. &amp; Astuti</w:t>
      </w:r>
      <w:r>
        <w:rPr>
          <w:rFonts w:ascii="Times New Roman" w:hAnsi="Times New Roman" w:cs="Times New Roman"/>
        </w:rPr>
        <w:t xml:space="preserve"> N. C. (2012). </w:t>
      </w:r>
      <w:r w:rsidRPr="00BB00AF">
        <w:rPr>
          <w:rFonts w:ascii="Times New Roman" w:hAnsi="Times New Roman" w:cs="Times New Roman"/>
        </w:rPr>
        <w:t>The Effect of Macroeconomic Variables on Stock Price Volatility:</w:t>
      </w:r>
      <w:r>
        <w:rPr>
          <w:rFonts w:ascii="Times New Roman" w:hAnsi="Times New Roman" w:cs="Times New Roman"/>
        </w:rPr>
        <w:t xml:space="preserve"> </w:t>
      </w:r>
      <w:r w:rsidRPr="00BB00AF">
        <w:rPr>
          <w:rFonts w:ascii="Times New Roman" w:hAnsi="Times New Roman" w:cs="Times New Roman"/>
        </w:rPr>
        <w:t>Evidence from Jakarta Composite Index, Agriculture, and Basic</w:t>
      </w:r>
      <w:r>
        <w:rPr>
          <w:rFonts w:ascii="Times New Roman" w:hAnsi="Times New Roman" w:cs="Times New Roman"/>
        </w:rPr>
        <w:t xml:space="preserve"> </w:t>
      </w:r>
      <w:r w:rsidRPr="00BB00AF">
        <w:rPr>
          <w:rFonts w:ascii="Times New Roman" w:hAnsi="Times New Roman" w:cs="Times New Roman"/>
        </w:rPr>
        <w:t>Industry Sector</w:t>
      </w:r>
      <w:r>
        <w:rPr>
          <w:rFonts w:ascii="Times New Roman" w:hAnsi="Times New Roman" w:cs="Times New Roman"/>
        </w:rPr>
        <w:t xml:space="preserve">. </w:t>
      </w:r>
      <w:r w:rsidRPr="00BB00AF">
        <w:rPr>
          <w:rFonts w:ascii="Times New Roman" w:hAnsi="Times New Roman" w:cs="Times New Roman"/>
        </w:rPr>
        <w:t>Journal of Management Information and Decision Sciences</w:t>
      </w:r>
    </w:p>
    <w:p w14:paraId="28B5445E" w14:textId="77777777" w:rsidR="00E6787C" w:rsidRDefault="00E6787C" w:rsidP="00BB00AF">
      <w:pPr>
        <w:autoSpaceDE w:val="0"/>
        <w:autoSpaceDN w:val="0"/>
        <w:adjustRightInd w:val="0"/>
        <w:spacing w:after="120" w:line="240" w:lineRule="auto"/>
        <w:jc w:val="both"/>
        <w:rPr>
          <w:rFonts w:ascii="Times New Roman" w:hAnsi="Times New Roman" w:cs="Times New Roman"/>
        </w:rPr>
      </w:pPr>
      <w:bookmarkStart w:id="34" w:name="_Hlk161428580"/>
      <w:r w:rsidRPr="00E6787C">
        <w:rPr>
          <w:rFonts w:ascii="Times New Roman" w:hAnsi="Times New Roman" w:cs="Times New Roman"/>
        </w:rPr>
        <w:t>Shrut</w:t>
      </w:r>
      <w:r>
        <w:rPr>
          <w:rFonts w:ascii="Times New Roman" w:hAnsi="Times New Roman" w:cs="Times New Roman"/>
        </w:rPr>
        <w:t xml:space="preserve"> S.</w:t>
      </w:r>
      <w:r w:rsidRPr="00E6787C">
        <w:rPr>
          <w:rFonts w:ascii="Times New Roman" w:hAnsi="Times New Roman" w:cs="Times New Roman"/>
        </w:rPr>
        <w:t>, Bhavya</w:t>
      </w:r>
      <w:r>
        <w:rPr>
          <w:rFonts w:ascii="Times New Roman" w:hAnsi="Times New Roman" w:cs="Times New Roman"/>
        </w:rPr>
        <w:t xml:space="preserve"> S.</w:t>
      </w:r>
      <w:r w:rsidRPr="00E6787C">
        <w:rPr>
          <w:rFonts w:ascii="Times New Roman" w:hAnsi="Times New Roman" w:cs="Times New Roman"/>
        </w:rPr>
        <w:t>, Niket</w:t>
      </w:r>
      <w:r>
        <w:rPr>
          <w:rFonts w:ascii="Times New Roman" w:hAnsi="Times New Roman" w:cs="Times New Roman"/>
        </w:rPr>
        <w:t xml:space="preserve"> S.</w:t>
      </w:r>
      <w:r w:rsidRPr="00E6787C">
        <w:rPr>
          <w:rFonts w:ascii="Times New Roman" w:hAnsi="Times New Roman" w:cs="Times New Roman"/>
        </w:rPr>
        <w:t>,</w:t>
      </w:r>
      <w:r>
        <w:rPr>
          <w:rFonts w:ascii="Times New Roman" w:hAnsi="Times New Roman" w:cs="Times New Roman"/>
        </w:rPr>
        <w:t xml:space="preserve"> </w:t>
      </w:r>
      <w:r w:rsidRPr="00E6787C">
        <w:rPr>
          <w:rFonts w:ascii="Times New Roman" w:hAnsi="Times New Roman" w:cs="Times New Roman"/>
        </w:rPr>
        <w:t>Vyom</w:t>
      </w:r>
      <w:r>
        <w:rPr>
          <w:rFonts w:ascii="Times New Roman" w:hAnsi="Times New Roman" w:cs="Times New Roman"/>
        </w:rPr>
        <w:t xml:space="preserve"> U.</w:t>
      </w:r>
      <w:r w:rsidRPr="00E6787C">
        <w:rPr>
          <w:rFonts w:ascii="Times New Roman" w:hAnsi="Times New Roman" w:cs="Times New Roman"/>
        </w:rPr>
        <w:t>,</w:t>
      </w:r>
      <w:r>
        <w:rPr>
          <w:rFonts w:ascii="Times New Roman" w:hAnsi="Times New Roman" w:cs="Times New Roman"/>
        </w:rPr>
        <w:t xml:space="preserve"> </w:t>
      </w:r>
      <w:r w:rsidRPr="00E6787C">
        <w:rPr>
          <w:rFonts w:ascii="Times New Roman" w:hAnsi="Times New Roman" w:cs="Times New Roman"/>
        </w:rPr>
        <w:t>Pratik</w:t>
      </w:r>
      <w:r>
        <w:rPr>
          <w:rFonts w:ascii="Times New Roman" w:hAnsi="Times New Roman" w:cs="Times New Roman"/>
        </w:rPr>
        <w:t xml:space="preserve"> K</w:t>
      </w:r>
      <w:r w:rsidRPr="00E6787C">
        <w:rPr>
          <w:rFonts w:ascii="Times New Roman" w:hAnsi="Times New Roman" w:cs="Times New Roman"/>
        </w:rPr>
        <w:t>.</w:t>
      </w:r>
      <w:r>
        <w:rPr>
          <w:rFonts w:ascii="Times New Roman" w:hAnsi="Times New Roman" w:cs="Times New Roman"/>
        </w:rPr>
        <w:t xml:space="preserve"> (2018).</w:t>
      </w:r>
      <w:r w:rsidRPr="00E6787C">
        <w:rPr>
          <w:rFonts w:ascii="Times New Roman" w:hAnsi="Times New Roman" w:cs="Times New Roman"/>
        </w:rPr>
        <w:t xml:space="preserve"> </w:t>
      </w:r>
      <w:bookmarkEnd w:id="34"/>
      <w:r w:rsidRPr="00E6787C">
        <w:rPr>
          <w:rFonts w:ascii="Times New Roman" w:hAnsi="Times New Roman" w:cs="Times New Roman"/>
        </w:rPr>
        <w:t>Stock price trend prediction using multiple linear regression. International Journal of Engineering Science Invention (IJESI), 7(1):5</w:t>
      </w:r>
      <w:r>
        <w:rPr>
          <w:rFonts w:ascii="Times New Roman" w:hAnsi="Times New Roman" w:cs="Times New Roman"/>
        </w:rPr>
        <w:t>.</w:t>
      </w:r>
    </w:p>
    <w:p w14:paraId="4D0C7F92" w14:textId="77777777" w:rsidR="001545EA" w:rsidRPr="001545EA" w:rsidRDefault="001545EA" w:rsidP="001545EA">
      <w:pPr>
        <w:autoSpaceDE w:val="0"/>
        <w:autoSpaceDN w:val="0"/>
        <w:adjustRightInd w:val="0"/>
        <w:spacing w:after="120" w:line="240" w:lineRule="auto"/>
        <w:jc w:val="both"/>
        <w:rPr>
          <w:rFonts w:ascii="Times New Roman" w:hAnsi="Times New Roman" w:cs="Times New Roman"/>
        </w:rPr>
      </w:pPr>
      <w:r w:rsidRPr="001545EA">
        <w:rPr>
          <w:rFonts w:ascii="Times New Roman" w:hAnsi="Times New Roman" w:cs="Times New Roman"/>
        </w:rPr>
        <w:t xml:space="preserve">Zamlelov </w:t>
      </w:r>
      <w:r>
        <w:rPr>
          <w:rFonts w:ascii="Times New Roman" w:hAnsi="Times New Roman" w:cs="Times New Roman"/>
        </w:rPr>
        <w:t xml:space="preserve">A.S. &amp; </w:t>
      </w:r>
      <w:r w:rsidRPr="001545EA">
        <w:rPr>
          <w:rFonts w:ascii="Times New Roman" w:hAnsi="Times New Roman" w:cs="Times New Roman"/>
        </w:rPr>
        <w:t>Michelsen</w:t>
      </w:r>
      <w:r>
        <w:rPr>
          <w:rFonts w:ascii="Times New Roman" w:hAnsi="Times New Roman" w:cs="Times New Roman"/>
        </w:rPr>
        <w:t xml:space="preserve"> M. H. (2019). </w:t>
      </w:r>
      <w:r w:rsidRPr="001545EA">
        <w:rPr>
          <w:rFonts w:ascii="Times New Roman" w:hAnsi="Times New Roman" w:cs="Times New Roman"/>
        </w:rPr>
        <w:t>The relationship between stock returns volatility and price multiples volatility</w:t>
      </w:r>
      <w:r>
        <w:rPr>
          <w:rFonts w:ascii="Times New Roman" w:hAnsi="Times New Roman" w:cs="Times New Roman"/>
        </w:rPr>
        <w:t xml:space="preserve">. </w:t>
      </w:r>
      <w:r w:rsidRPr="001545EA">
        <w:rPr>
          <w:rFonts w:ascii="Times New Roman" w:hAnsi="Times New Roman" w:cs="Times New Roman"/>
        </w:rPr>
        <w:t>Investigating the Danish, Swedish, and Norwegian stock market</w:t>
      </w:r>
    </w:p>
    <w:p w14:paraId="7386F16E" w14:textId="77777777" w:rsidR="00971403" w:rsidRPr="00236F03" w:rsidRDefault="00196BCB" w:rsidP="00BB00AF">
      <w:pPr>
        <w:autoSpaceDE w:val="0"/>
        <w:autoSpaceDN w:val="0"/>
        <w:adjustRightInd w:val="0"/>
        <w:spacing w:after="120" w:line="240" w:lineRule="auto"/>
        <w:jc w:val="both"/>
        <w:rPr>
          <w:rFonts w:ascii="Times New Roman" w:eastAsia="MinionPro-Regular" w:hAnsi="Times New Roman" w:cs="Times New Roman"/>
        </w:rPr>
      </w:pPr>
      <w:hyperlink r:id="rId9" w:history="1">
        <w:r w:rsidRPr="00B02677">
          <w:rPr>
            <w:rStyle w:val="Hyperlink"/>
            <w:rFonts w:ascii="Times New Roman" w:eastAsia="MinionPro-Regular" w:hAnsi="Times New Roman" w:cs="Times New Roman"/>
          </w:rPr>
          <w:t>https://www.caterpillar.com/en/news/caterpillarNews/2022/caterpillar-recognizes-top-suppliers.html</w:t>
        </w:r>
      </w:hyperlink>
      <w:r w:rsidR="00236F03">
        <w:rPr>
          <w:rStyle w:val="Hyperlink"/>
          <w:rFonts w:ascii="Times New Roman" w:eastAsia="MinionPro-Regular" w:hAnsi="Times New Roman" w:cs="Times New Roman"/>
        </w:rPr>
        <w:t xml:space="preserve"> </w:t>
      </w:r>
      <w:r w:rsidR="00236F03" w:rsidRPr="00236F03">
        <w:rPr>
          <w:rStyle w:val="Hyperlink"/>
          <w:rFonts w:ascii="Times New Roman" w:eastAsia="MinionPro-Regular" w:hAnsi="Times New Roman" w:cs="Times New Roman"/>
          <w:color w:val="auto"/>
          <w:u w:val="none"/>
        </w:rPr>
        <w:t>, приступљено 27.02.2024. године</w:t>
      </w:r>
    </w:p>
    <w:p w14:paraId="1AE910A9" w14:textId="77777777" w:rsidR="00196BCB" w:rsidRPr="007256C6" w:rsidRDefault="00196BCB" w:rsidP="006E7AEB">
      <w:pPr>
        <w:autoSpaceDE w:val="0"/>
        <w:autoSpaceDN w:val="0"/>
        <w:adjustRightInd w:val="0"/>
        <w:spacing w:after="120" w:line="240" w:lineRule="auto"/>
        <w:jc w:val="both"/>
        <w:rPr>
          <w:rFonts w:ascii="Times New Roman" w:eastAsia="MinionPro-Regular" w:hAnsi="Times New Roman" w:cs="Times New Roman"/>
        </w:rPr>
      </w:pPr>
    </w:p>
    <w:sectPr w:rsidR="00196BCB" w:rsidRPr="007256C6" w:rsidSect="00C560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B4571" w14:textId="77777777" w:rsidR="00320AC3" w:rsidRDefault="00320AC3" w:rsidP="00A42115">
      <w:pPr>
        <w:spacing w:after="0" w:line="240" w:lineRule="auto"/>
      </w:pPr>
      <w:r>
        <w:separator/>
      </w:r>
    </w:p>
  </w:endnote>
  <w:endnote w:type="continuationSeparator" w:id="0">
    <w:p w14:paraId="0565D49C" w14:textId="77777777" w:rsidR="00320AC3" w:rsidRDefault="00320AC3" w:rsidP="00A4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Yu Gothic"/>
    <w:panose1 w:val="00000000000000000000"/>
    <w:charset w:val="80"/>
    <w:family w:val="roman"/>
    <w:notTrueType/>
    <w:pitch w:val="default"/>
    <w:sig w:usb0="00000001" w:usb1="08070000" w:usb2="00000010" w:usb3="00000000" w:csb0="00020000" w:csb1="00000000"/>
  </w:font>
  <w:font w:name="MinionPro-It">
    <w:altName w:val="Yu Gothic"/>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2E367" w14:textId="77777777" w:rsidR="00320AC3" w:rsidRDefault="00320AC3" w:rsidP="00A42115">
      <w:pPr>
        <w:spacing w:after="0" w:line="240" w:lineRule="auto"/>
      </w:pPr>
      <w:r>
        <w:separator/>
      </w:r>
    </w:p>
  </w:footnote>
  <w:footnote w:type="continuationSeparator" w:id="0">
    <w:p w14:paraId="2EDE4C0A" w14:textId="77777777" w:rsidR="00320AC3" w:rsidRDefault="00320AC3" w:rsidP="00A42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70CA"/>
    <w:multiLevelType w:val="hybridMultilevel"/>
    <w:tmpl w:val="5316C720"/>
    <w:lvl w:ilvl="0" w:tplc="3F5C1516">
      <w:start w:val="286"/>
      <w:numFmt w:val="bullet"/>
      <w:lvlText w:val=""/>
      <w:lvlJc w:val="left"/>
      <w:pPr>
        <w:ind w:left="720" w:hanging="360"/>
      </w:pPr>
      <w:rPr>
        <w:rFonts w:ascii="Symbol" w:eastAsiaTheme="minorHAnsi"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7B671A8"/>
    <w:multiLevelType w:val="hybridMultilevel"/>
    <w:tmpl w:val="3AC282B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3EEE799B"/>
    <w:multiLevelType w:val="multilevel"/>
    <w:tmpl w:val="1390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91BD7"/>
    <w:multiLevelType w:val="multilevel"/>
    <w:tmpl w:val="7E20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708A5"/>
    <w:multiLevelType w:val="hybridMultilevel"/>
    <w:tmpl w:val="A4AE43C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4E9F6479"/>
    <w:multiLevelType w:val="multilevel"/>
    <w:tmpl w:val="7B6E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161D33"/>
    <w:multiLevelType w:val="multilevel"/>
    <w:tmpl w:val="E1E22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B562AA"/>
    <w:multiLevelType w:val="hybridMultilevel"/>
    <w:tmpl w:val="A78C12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23737972">
    <w:abstractNumId w:val="1"/>
  </w:num>
  <w:num w:numId="2" w16cid:durableId="1163201781">
    <w:abstractNumId w:val="4"/>
  </w:num>
  <w:num w:numId="3" w16cid:durableId="1127088986">
    <w:abstractNumId w:val="7"/>
  </w:num>
  <w:num w:numId="4" w16cid:durableId="757141795">
    <w:abstractNumId w:val="2"/>
  </w:num>
  <w:num w:numId="5" w16cid:durableId="294070786">
    <w:abstractNumId w:val="3"/>
  </w:num>
  <w:num w:numId="6" w16cid:durableId="1259170044">
    <w:abstractNumId w:val="5"/>
  </w:num>
  <w:num w:numId="7" w16cid:durableId="684870874">
    <w:abstractNumId w:val="0"/>
  </w:num>
  <w:num w:numId="8" w16cid:durableId="2141610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86"/>
    <w:rsid w:val="000017CD"/>
    <w:rsid w:val="00002CEC"/>
    <w:rsid w:val="0000546C"/>
    <w:rsid w:val="00007AD5"/>
    <w:rsid w:val="0001379F"/>
    <w:rsid w:val="0002128A"/>
    <w:rsid w:val="00022622"/>
    <w:rsid w:val="00023C59"/>
    <w:rsid w:val="00025066"/>
    <w:rsid w:val="00027FCD"/>
    <w:rsid w:val="00040F81"/>
    <w:rsid w:val="0004248A"/>
    <w:rsid w:val="00043CEB"/>
    <w:rsid w:val="0004450B"/>
    <w:rsid w:val="00065B25"/>
    <w:rsid w:val="0007200A"/>
    <w:rsid w:val="0008266D"/>
    <w:rsid w:val="00082D8D"/>
    <w:rsid w:val="0008375D"/>
    <w:rsid w:val="00085265"/>
    <w:rsid w:val="000B423E"/>
    <w:rsid w:val="000B6A61"/>
    <w:rsid w:val="000C096C"/>
    <w:rsid w:val="000C0E25"/>
    <w:rsid w:val="000C2C6F"/>
    <w:rsid w:val="000D1D16"/>
    <w:rsid w:val="000D2FC3"/>
    <w:rsid w:val="000D36E6"/>
    <w:rsid w:val="000D5E42"/>
    <w:rsid w:val="000E3ACC"/>
    <w:rsid w:val="000E3D94"/>
    <w:rsid w:val="000E426E"/>
    <w:rsid w:val="000F3A34"/>
    <w:rsid w:val="000F6AF7"/>
    <w:rsid w:val="001002E7"/>
    <w:rsid w:val="00111B78"/>
    <w:rsid w:val="0011525C"/>
    <w:rsid w:val="00115386"/>
    <w:rsid w:val="001203BE"/>
    <w:rsid w:val="00124243"/>
    <w:rsid w:val="00126D3E"/>
    <w:rsid w:val="001319C2"/>
    <w:rsid w:val="00133C8D"/>
    <w:rsid w:val="00135593"/>
    <w:rsid w:val="0013738E"/>
    <w:rsid w:val="001405B2"/>
    <w:rsid w:val="00141594"/>
    <w:rsid w:val="001523F0"/>
    <w:rsid w:val="0015302F"/>
    <w:rsid w:val="00153F50"/>
    <w:rsid w:val="001545EA"/>
    <w:rsid w:val="001566AB"/>
    <w:rsid w:val="00161024"/>
    <w:rsid w:val="0016181F"/>
    <w:rsid w:val="00164051"/>
    <w:rsid w:val="00164576"/>
    <w:rsid w:val="001734D0"/>
    <w:rsid w:val="00173F50"/>
    <w:rsid w:val="0017673D"/>
    <w:rsid w:val="00181CBC"/>
    <w:rsid w:val="001827E1"/>
    <w:rsid w:val="00185314"/>
    <w:rsid w:val="00185897"/>
    <w:rsid w:val="00185B99"/>
    <w:rsid w:val="001878DF"/>
    <w:rsid w:val="00190385"/>
    <w:rsid w:val="00191884"/>
    <w:rsid w:val="00195883"/>
    <w:rsid w:val="0019657E"/>
    <w:rsid w:val="00196BCB"/>
    <w:rsid w:val="001A4CF5"/>
    <w:rsid w:val="001A5606"/>
    <w:rsid w:val="001B33FA"/>
    <w:rsid w:val="001B6E14"/>
    <w:rsid w:val="001C75BC"/>
    <w:rsid w:val="001D4BFA"/>
    <w:rsid w:val="001E028D"/>
    <w:rsid w:val="001E2FA8"/>
    <w:rsid w:val="001E4E7B"/>
    <w:rsid w:val="001E4F7E"/>
    <w:rsid w:val="001E5D29"/>
    <w:rsid w:val="001F435D"/>
    <w:rsid w:val="001F61F9"/>
    <w:rsid w:val="00200C55"/>
    <w:rsid w:val="002044AE"/>
    <w:rsid w:val="00210CBE"/>
    <w:rsid w:val="002126A7"/>
    <w:rsid w:val="002135E7"/>
    <w:rsid w:val="00225011"/>
    <w:rsid w:val="002356E0"/>
    <w:rsid w:val="00236021"/>
    <w:rsid w:val="002364F1"/>
    <w:rsid w:val="00236F03"/>
    <w:rsid w:val="00245E04"/>
    <w:rsid w:val="0025342C"/>
    <w:rsid w:val="00253736"/>
    <w:rsid w:val="00260477"/>
    <w:rsid w:val="00260760"/>
    <w:rsid w:val="002622B2"/>
    <w:rsid w:val="00262410"/>
    <w:rsid w:val="00273470"/>
    <w:rsid w:val="00275E94"/>
    <w:rsid w:val="002778F9"/>
    <w:rsid w:val="00282649"/>
    <w:rsid w:val="00290138"/>
    <w:rsid w:val="0029043D"/>
    <w:rsid w:val="002A37A2"/>
    <w:rsid w:val="002A4F82"/>
    <w:rsid w:val="002A4F90"/>
    <w:rsid w:val="002A5193"/>
    <w:rsid w:val="002A7EAE"/>
    <w:rsid w:val="002C1237"/>
    <w:rsid w:val="002C7680"/>
    <w:rsid w:val="002D0748"/>
    <w:rsid w:val="002D0EA5"/>
    <w:rsid w:val="002E36B0"/>
    <w:rsid w:val="002E5595"/>
    <w:rsid w:val="002F005B"/>
    <w:rsid w:val="002F1B3B"/>
    <w:rsid w:val="002F347D"/>
    <w:rsid w:val="002F3A64"/>
    <w:rsid w:val="0030757E"/>
    <w:rsid w:val="0031133C"/>
    <w:rsid w:val="00313391"/>
    <w:rsid w:val="00313EDD"/>
    <w:rsid w:val="00320AC3"/>
    <w:rsid w:val="00323C7E"/>
    <w:rsid w:val="00325E75"/>
    <w:rsid w:val="00326D94"/>
    <w:rsid w:val="00326E5B"/>
    <w:rsid w:val="00334515"/>
    <w:rsid w:val="00335B77"/>
    <w:rsid w:val="00340483"/>
    <w:rsid w:val="003419A1"/>
    <w:rsid w:val="00352A8F"/>
    <w:rsid w:val="0035496A"/>
    <w:rsid w:val="0036013B"/>
    <w:rsid w:val="00361DFB"/>
    <w:rsid w:val="0036229F"/>
    <w:rsid w:val="00375746"/>
    <w:rsid w:val="00381516"/>
    <w:rsid w:val="003833B0"/>
    <w:rsid w:val="003874B5"/>
    <w:rsid w:val="00393F62"/>
    <w:rsid w:val="00396467"/>
    <w:rsid w:val="003A0D7B"/>
    <w:rsid w:val="003A5E2B"/>
    <w:rsid w:val="003A6EBE"/>
    <w:rsid w:val="003B7973"/>
    <w:rsid w:val="003C0399"/>
    <w:rsid w:val="003C065C"/>
    <w:rsid w:val="003C1F4B"/>
    <w:rsid w:val="003C3AAB"/>
    <w:rsid w:val="003C3C7A"/>
    <w:rsid w:val="003C679F"/>
    <w:rsid w:val="003D5A7D"/>
    <w:rsid w:val="003E6CF5"/>
    <w:rsid w:val="003F0632"/>
    <w:rsid w:val="003F29CF"/>
    <w:rsid w:val="00401A63"/>
    <w:rsid w:val="00402C96"/>
    <w:rsid w:val="00410C09"/>
    <w:rsid w:val="0041262C"/>
    <w:rsid w:val="0041493C"/>
    <w:rsid w:val="00417863"/>
    <w:rsid w:val="00420F3E"/>
    <w:rsid w:val="00431C8F"/>
    <w:rsid w:val="00437CA7"/>
    <w:rsid w:val="00444912"/>
    <w:rsid w:val="00447002"/>
    <w:rsid w:val="004533C8"/>
    <w:rsid w:val="00455E0E"/>
    <w:rsid w:val="0046055A"/>
    <w:rsid w:val="00460FE1"/>
    <w:rsid w:val="00471E79"/>
    <w:rsid w:val="00474272"/>
    <w:rsid w:val="00474ECE"/>
    <w:rsid w:val="004802B6"/>
    <w:rsid w:val="0048424B"/>
    <w:rsid w:val="00487972"/>
    <w:rsid w:val="00495060"/>
    <w:rsid w:val="004A0C2A"/>
    <w:rsid w:val="004A444F"/>
    <w:rsid w:val="004B1DFF"/>
    <w:rsid w:val="004B26E4"/>
    <w:rsid w:val="004B361D"/>
    <w:rsid w:val="004B4BD5"/>
    <w:rsid w:val="004C0F60"/>
    <w:rsid w:val="004C27D4"/>
    <w:rsid w:val="004C46B0"/>
    <w:rsid w:val="004C5C3F"/>
    <w:rsid w:val="004D1714"/>
    <w:rsid w:val="004D2C04"/>
    <w:rsid w:val="004D3057"/>
    <w:rsid w:val="004D3336"/>
    <w:rsid w:val="004E23B8"/>
    <w:rsid w:val="004E5354"/>
    <w:rsid w:val="004E77EF"/>
    <w:rsid w:val="005042B7"/>
    <w:rsid w:val="00504802"/>
    <w:rsid w:val="005052F7"/>
    <w:rsid w:val="00507B75"/>
    <w:rsid w:val="00507BE9"/>
    <w:rsid w:val="00511E07"/>
    <w:rsid w:val="00512685"/>
    <w:rsid w:val="0052122F"/>
    <w:rsid w:val="00523FB8"/>
    <w:rsid w:val="00525731"/>
    <w:rsid w:val="00536E76"/>
    <w:rsid w:val="00537050"/>
    <w:rsid w:val="005420CB"/>
    <w:rsid w:val="00542BBC"/>
    <w:rsid w:val="00547266"/>
    <w:rsid w:val="0055383F"/>
    <w:rsid w:val="0055665F"/>
    <w:rsid w:val="00556E74"/>
    <w:rsid w:val="00564EBF"/>
    <w:rsid w:val="00565166"/>
    <w:rsid w:val="0056546F"/>
    <w:rsid w:val="00570509"/>
    <w:rsid w:val="00571AF6"/>
    <w:rsid w:val="00574721"/>
    <w:rsid w:val="00581653"/>
    <w:rsid w:val="00587C03"/>
    <w:rsid w:val="005904FD"/>
    <w:rsid w:val="0059676C"/>
    <w:rsid w:val="00596BDD"/>
    <w:rsid w:val="005A0958"/>
    <w:rsid w:val="005A1AA0"/>
    <w:rsid w:val="005B0B1E"/>
    <w:rsid w:val="005B1598"/>
    <w:rsid w:val="005C2FC2"/>
    <w:rsid w:val="005C3F7B"/>
    <w:rsid w:val="005D4AC1"/>
    <w:rsid w:val="005D5904"/>
    <w:rsid w:val="005D5CB5"/>
    <w:rsid w:val="005D77C5"/>
    <w:rsid w:val="005F09BE"/>
    <w:rsid w:val="006006CD"/>
    <w:rsid w:val="006011E6"/>
    <w:rsid w:val="00606652"/>
    <w:rsid w:val="00607F35"/>
    <w:rsid w:val="00610EDA"/>
    <w:rsid w:val="00614CE8"/>
    <w:rsid w:val="00616643"/>
    <w:rsid w:val="00616967"/>
    <w:rsid w:val="0062292C"/>
    <w:rsid w:val="00623A40"/>
    <w:rsid w:val="00627E54"/>
    <w:rsid w:val="006324E4"/>
    <w:rsid w:val="00634354"/>
    <w:rsid w:val="006347BA"/>
    <w:rsid w:val="006350E7"/>
    <w:rsid w:val="00654F72"/>
    <w:rsid w:val="0066172B"/>
    <w:rsid w:val="00662351"/>
    <w:rsid w:val="00670560"/>
    <w:rsid w:val="00671CF9"/>
    <w:rsid w:val="00674195"/>
    <w:rsid w:val="00674344"/>
    <w:rsid w:val="00684465"/>
    <w:rsid w:val="00685EB5"/>
    <w:rsid w:val="006914AE"/>
    <w:rsid w:val="00694B3A"/>
    <w:rsid w:val="006A04EA"/>
    <w:rsid w:val="006A0965"/>
    <w:rsid w:val="006A56FB"/>
    <w:rsid w:val="006B04EC"/>
    <w:rsid w:val="006B0649"/>
    <w:rsid w:val="006B40E7"/>
    <w:rsid w:val="006B47A4"/>
    <w:rsid w:val="006B5950"/>
    <w:rsid w:val="006B60BF"/>
    <w:rsid w:val="006C031A"/>
    <w:rsid w:val="006C69C5"/>
    <w:rsid w:val="006D1FFB"/>
    <w:rsid w:val="006D2E1C"/>
    <w:rsid w:val="006D43FE"/>
    <w:rsid w:val="006D60DE"/>
    <w:rsid w:val="006D6425"/>
    <w:rsid w:val="006D6B22"/>
    <w:rsid w:val="006D7091"/>
    <w:rsid w:val="006E3A40"/>
    <w:rsid w:val="006E4E6F"/>
    <w:rsid w:val="006E64D4"/>
    <w:rsid w:val="006E7AEB"/>
    <w:rsid w:val="006F1CC1"/>
    <w:rsid w:val="006F3DDF"/>
    <w:rsid w:val="006F619B"/>
    <w:rsid w:val="007066CD"/>
    <w:rsid w:val="0071307A"/>
    <w:rsid w:val="00716600"/>
    <w:rsid w:val="00717376"/>
    <w:rsid w:val="00722BD2"/>
    <w:rsid w:val="007256C6"/>
    <w:rsid w:val="00735E6C"/>
    <w:rsid w:val="0074154B"/>
    <w:rsid w:val="00745883"/>
    <w:rsid w:val="00754FCC"/>
    <w:rsid w:val="00755E40"/>
    <w:rsid w:val="00756887"/>
    <w:rsid w:val="00757FEF"/>
    <w:rsid w:val="00760B8B"/>
    <w:rsid w:val="00773AD2"/>
    <w:rsid w:val="00775BD6"/>
    <w:rsid w:val="007820D6"/>
    <w:rsid w:val="00785FBE"/>
    <w:rsid w:val="00795C1A"/>
    <w:rsid w:val="00796A1F"/>
    <w:rsid w:val="007A24DF"/>
    <w:rsid w:val="007A366F"/>
    <w:rsid w:val="007A441B"/>
    <w:rsid w:val="007A57FE"/>
    <w:rsid w:val="007B2680"/>
    <w:rsid w:val="007B30E7"/>
    <w:rsid w:val="007B66E9"/>
    <w:rsid w:val="007C0DF7"/>
    <w:rsid w:val="007C10C0"/>
    <w:rsid w:val="007C2E5C"/>
    <w:rsid w:val="007C5CF7"/>
    <w:rsid w:val="007D100C"/>
    <w:rsid w:val="007D3142"/>
    <w:rsid w:val="007D3F7C"/>
    <w:rsid w:val="007D7884"/>
    <w:rsid w:val="007E6BB2"/>
    <w:rsid w:val="007F21B6"/>
    <w:rsid w:val="007F2C0A"/>
    <w:rsid w:val="007F3DB6"/>
    <w:rsid w:val="007F6148"/>
    <w:rsid w:val="00807030"/>
    <w:rsid w:val="0081106C"/>
    <w:rsid w:val="00812DAC"/>
    <w:rsid w:val="00814B3C"/>
    <w:rsid w:val="0082037D"/>
    <w:rsid w:val="00827038"/>
    <w:rsid w:val="0082742F"/>
    <w:rsid w:val="00831957"/>
    <w:rsid w:val="00831FB8"/>
    <w:rsid w:val="00833CB7"/>
    <w:rsid w:val="008361A4"/>
    <w:rsid w:val="00840FE7"/>
    <w:rsid w:val="008435EC"/>
    <w:rsid w:val="00850200"/>
    <w:rsid w:val="00854CD4"/>
    <w:rsid w:val="00855858"/>
    <w:rsid w:val="0085608A"/>
    <w:rsid w:val="00856C0A"/>
    <w:rsid w:val="00856F73"/>
    <w:rsid w:val="0085792D"/>
    <w:rsid w:val="008652A6"/>
    <w:rsid w:val="0087060B"/>
    <w:rsid w:val="008778B9"/>
    <w:rsid w:val="008854A1"/>
    <w:rsid w:val="008868C0"/>
    <w:rsid w:val="00887D73"/>
    <w:rsid w:val="00892BB9"/>
    <w:rsid w:val="0089472C"/>
    <w:rsid w:val="00897C98"/>
    <w:rsid w:val="008A7C42"/>
    <w:rsid w:val="008B0990"/>
    <w:rsid w:val="008B1231"/>
    <w:rsid w:val="008B3333"/>
    <w:rsid w:val="008B6FCC"/>
    <w:rsid w:val="008C62E7"/>
    <w:rsid w:val="008C73CC"/>
    <w:rsid w:val="008D1A90"/>
    <w:rsid w:val="008D62C9"/>
    <w:rsid w:val="008D7AD1"/>
    <w:rsid w:val="008E464E"/>
    <w:rsid w:val="008E558D"/>
    <w:rsid w:val="008F56AF"/>
    <w:rsid w:val="009072A0"/>
    <w:rsid w:val="009128E5"/>
    <w:rsid w:val="009153DD"/>
    <w:rsid w:val="00916058"/>
    <w:rsid w:val="0092472F"/>
    <w:rsid w:val="0093112D"/>
    <w:rsid w:val="00937CA6"/>
    <w:rsid w:val="00941D70"/>
    <w:rsid w:val="00946C59"/>
    <w:rsid w:val="009501DA"/>
    <w:rsid w:val="00950DD3"/>
    <w:rsid w:val="009520D5"/>
    <w:rsid w:val="0095282A"/>
    <w:rsid w:val="009574B4"/>
    <w:rsid w:val="009701AA"/>
    <w:rsid w:val="009706EA"/>
    <w:rsid w:val="00971403"/>
    <w:rsid w:val="009725E8"/>
    <w:rsid w:val="00977573"/>
    <w:rsid w:val="009802DE"/>
    <w:rsid w:val="009848ED"/>
    <w:rsid w:val="009A1003"/>
    <w:rsid w:val="009A1D3C"/>
    <w:rsid w:val="009A1DFD"/>
    <w:rsid w:val="009B33EC"/>
    <w:rsid w:val="009B3A62"/>
    <w:rsid w:val="009B6D41"/>
    <w:rsid w:val="009C091B"/>
    <w:rsid w:val="009C77B0"/>
    <w:rsid w:val="009D3EA5"/>
    <w:rsid w:val="009D4F01"/>
    <w:rsid w:val="009E1B41"/>
    <w:rsid w:val="009E1EBE"/>
    <w:rsid w:val="009E732A"/>
    <w:rsid w:val="00A03A3D"/>
    <w:rsid w:val="00A04F44"/>
    <w:rsid w:val="00A12311"/>
    <w:rsid w:val="00A12523"/>
    <w:rsid w:val="00A21EAF"/>
    <w:rsid w:val="00A2211D"/>
    <w:rsid w:val="00A27E5C"/>
    <w:rsid w:val="00A31749"/>
    <w:rsid w:val="00A328A9"/>
    <w:rsid w:val="00A33A21"/>
    <w:rsid w:val="00A33C2F"/>
    <w:rsid w:val="00A34997"/>
    <w:rsid w:val="00A41E04"/>
    <w:rsid w:val="00A42115"/>
    <w:rsid w:val="00A44165"/>
    <w:rsid w:val="00A45CE8"/>
    <w:rsid w:val="00A5778A"/>
    <w:rsid w:val="00A57EB8"/>
    <w:rsid w:val="00A626CA"/>
    <w:rsid w:val="00A64780"/>
    <w:rsid w:val="00A71575"/>
    <w:rsid w:val="00A73428"/>
    <w:rsid w:val="00A76C41"/>
    <w:rsid w:val="00A90D9C"/>
    <w:rsid w:val="00A9221D"/>
    <w:rsid w:val="00AA1FEC"/>
    <w:rsid w:val="00AA4882"/>
    <w:rsid w:val="00AA5965"/>
    <w:rsid w:val="00AA6788"/>
    <w:rsid w:val="00AA7C10"/>
    <w:rsid w:val="00AB2E68"/>
    <w:rsid w:val="00AB7757"/>
    <w:rsid w:val="00AC43BB"/>
    <w:rsid w:val="00AC56CE"/>
    <w:rsid w:val="00AD4124"/>
    <w:rsid w:val="00AE2AF1"/>
    <w:rsid w:val="00AE71A2"/>
    <w:rsid w:val="00AF11AD"/>
    <w:rsid w:val="00AF3781"/>
    <w:rsid w:val="00AF4407"/>
    <w:rsid w:val="00AF55CB"/>
    <w:rsid w:val="00AF679C"/>
    <w:rsid w:val="00B01F27"/>
    <w:rsid w:val="00B04C79"/>
    <w:rsid w:val="00B144BD"/>
    <w:rsid w:val="00B1622A"/>
    <w:rsid w:val="00B22A58"/>
    <w:rsid w:val="00B23EF3"/>
    <w:rsid w:val="00B23F95"/>
    <w:rsid w:val="00B25A58"/>
    <w:rsid w:val="00B32345"/>
    <w:rsid w:val="00B37C8F"/>
    <w:rsid w:val="00B471A4"/>
    <w:rsid w:val="00B54A0F"/>
    <w:rsid w:val="00B564E8"/>
    <w:rsid w:val="00B565BD"/>
    <w:rsid w:val="00B61164"/>
    <w:rsid w:val="00B62779"/>
    <w:rsid w:val="00B63476"/>
    <w:rsid w:val="00B72203"/>
    <w:rsid w:val="00B81C18"/>
    <w:rsid w:val="00B859F2"/>
    <w:rsid w:val="00B90818"/>
    <w:rsid w:val="00B91447"/>
    <w:rsid w:val="00B94526"/>
    <w:rsid w:val="00BA4E33"/>
    <w:rsid w:val="00BA5A17"/>
    <w:rsid w:val="00BB00AF"/>
    <w:rsid w:val="00BB0A0B"/>
    <w:rsid w:val="00BB3A4A"/>
    <w:rsid w:val="00BB4CF4"/>
    <w:rsid w:val="00BB7431"/>
    <w:rsid w:val="00BB7D38"/>
    <w:rsid w:val="00BD20CC"/>
    <w:rsid w:val="00BD3167"/>
    <w:rsid w:val="00BD4382"/>
    <w:rsid w:val="00BD760C"/>
    <w:rsid w:val="00BE2613"/>
    <w:rsid w:val="00BF20C0"/>
    <w:rsid w:val="00BF439A"/>
    <w:rsid w:val="00BF71E3"/>
    <w:rsid w:val="00C14802"/>
    <w:rsid w:val="00C16AAF"/>
    <w:rsid w:val="00C212B5"/>
    <w:rsid w:val="00C409E1"/>
    <w:rsid w:val="00C4306E"/>
    <w:rsid w:val="00C43D4C"/>
    <w:rsid w:val="00C44292"/>
    <w:rsid w:val="00C44372"/>
    <w:rsid w:val="00C53795"/>
    <w:rsid w:val="00C560AB"/>
    <w:rsid w:val="00C56752"/>
    <w:rsid w:val="00C610E4"/>
    <w:rsid w:val="00C742B5"/>
    <w:rsid w:val="00C74870"/>
    <w:rsid w:val="00C754A0"/>
    <w:rsid w:val="00C75EF1"/>
    <w:rsid w:val="00C80B6F"/>
    <w:rsid w:val="00C823AF"/>
    <w:rsid w:val="00C860CB"/>
    <w:rsid w:val="00CA2342"/>
    <w:rsid w:val="00CB4EB7"/>
    <w:rsid w:val="00CB65CE"/>
    <w:rsid w:val="00CB77CE"/>
    <w:rsid w:val="00CB7E87"/>
    <w:rsid w:val="00CC0E65"/>
    <w:rsid w:val="00CC32FE"/>
    <w:rsid w:val="00CC433A"/>
    <w:rsid w:val="00CC4EB8"/>
    <w:rsid w:val="00CD2080"/>
    <w:rsid w:val="00CD5581"/>
    <w:rsid w:val="00CD581F"/>
    <w:rsid w:val="00CD5ADF"/>
    <w:rsid w:val="00CE12BE"/>
    <w:rsid w:val="00CE4FBB"/>
    <w:rsid w:val="00CF419C"/>
    <w:rsid w:val="00CF4725"/>
    <w:rsid w:val="00CF582C"/>
    <w:rsid w:val="00CF7D36"/>
    <w:rsid w:val="00D05C72"/>
    <w:rsid w:val="00D11294"/>
    <w:rsid w:val="00D1351D"/>
    <w:rsid w:val="00D156FC"/>
    <w:rsid w:val="00D1721C"/>
    <w:rsid w:val="00D2262B"/>
    <w:rsid w:val="00D31D12"/>
    <w:rsid w:val="00D34882"/>
    <w:rsid w:val="00D35E70"/>
    <w:rsid w:val="00D37544"/>
    <w:rsid w:val="00D401AE"/>
    <w:rsid w:val="00D4125C"/>
    <w:rsid w:val="00D47890"/>
    <w:rsid w:val="00D555DF"/>
    <w:rsid w:val="00D62E65"/>
    <w:rsid w:val="00D65B88"/>
    <w:rsid w:val="00D70D1A"/>
    <w:rsid w:val="00D72A63"/>
    <w:rsid w:val="00D806B6"/>
    <w:rsid w:val="00D81E04"/>
    <w:rsid w:val="00D842FD"/>
    <w:rsid w:val="00D8489D"/>
    <w:rsid w:val="00D902C9"/>
    <w:rsid w:val="00D91156"/>
    <w:rsid w:val="00DA5CB4"/>
    <w:rsid w:val="00DB213F"/>
    <w:rsid w:val="00DB28A3"/>
    <w:rsid w:val="00DB3AF5"/>
    <w:rsid w:val="00DC2F0C"/>
    <w:rsid w:val="00DC4C90"/>
    <w:rsid w:val="00DC5398"/>
    <w:rsid w:val="00DC6817"/>
    <w:rsid w:val="00DC6A54"/>
    <w:rsid w:val="00DD06A4"/>
    <w:rsid w:val="00DD0DF3"/>
    <w:rsid w:val="00DD0E67"/>
    <w:rsid w:val="00DD56F9"/>
    <w:rsid w:val="00DD5906"/>
    <w:rsid w:val="00DD59D8"/>
    <w:rsid w:val="00DD60E1"/>
    <w:rsid w:val="00DD6A27"/>
    <w:rsid w:val="00DE0759"/>
    <w:rsid w:val="00DE08F4"/>
    <w:rsid w:val="00DE10BD"/>
    <w:rsid w:val="00DE2AC5"/>
    <w:rsid w:val="00DE6BF8"/>
    <w:rsid w:val="00DF14A7"/>
    <w:rsid w:val="00DF306C"/>
    <w:rsid w:val="00DF458B"/>
    <w:rsid w:val="00DF4AC2"/>
    <w:rsid w:val="00E03204"/>
    <w:rsid w:val="00E063A2"/>
    <w:rsid w:val="00E06F3C"/>
    <w:rsid w:val="00E11A1E"/>
    <w:rsid w:val="00E12740"/>
    <w:rsid w:val="00E14388"/>
    <w:rsid w:val="00E16127"/>
    <w:rsid w:val="00E165F3"/>
    <w:rsid w:val="00E16CFD"/>
    <w:rsid w:val="00E2060F"/>
    <w:rsid w:val="00E22213"/>
    <w:rsid w:val="00E2257E"/>
    <w:rsid w:val="00E25A81"/>
    <w:rsid w:val="00E26542"/>
    <w:rsid w:val="00E265BD"/>
    <w:rsid w:val="00E27162"/>
    <w:rsid w:val="00E5558F"/>
    <w:rsid w:val="00E565BF"/>
    <w:rsid w:val="00E602D7"/>
    <w:rsid w:val="00E62250"/>
    <w:rsid w:val="00E62B2D"/>
    <w:rsid w:val="00E6787C"/>
    <w:rsid w:val="00E70162"/>
    <w:rsid w:val="00E74255"/>
    <w:rsid w:val="00E7535B"/>
    <w:rsid w:val="00E758B8"/>
    <w:rsid w:val="00E75A45"/>
    <w:rsid w:val="00E76EEE"/>
    <w:rsid w:val="00E82913"/>
    <w:rsid w:val="00EA41B3"/>
    <w:rsid w:val="00EA49DF"/>
    <w:rsid w:val="00EB00CF"/>
    <w:rsid w:val="00EB2B99"/>
    <w:rsid w:val="00EC7A9D"/>
    <w:rsid w:val="00ED309A"/>
    <w:rsid w:val="00ED44FB"/>
    <w:rsid w:val="00ED4AD1"/>
    <w:rsid w:val="00ED67CC"/>
    <w:rsid w:val="00EE0AF8"/>
    <w:rsid w:val="00EE2D46"/>
    <w:rsid w:val="00EE747C"/>
    <w:rsid w:val="00EF250B"/>
    <w:rsid w:val="00EF256C"/>
    <w:rsid w:val="00EF50A8"/>
    <w:rsid w:val="00EF6D09"/>
    <w:rsid w:val="00F03EA9"/>
    <w:rsid w:val="00F062FC"/>
    <w:rsid w:val="00F1288F"/>
    <w:rsid w:val="00F13487"/>
    <w:rsid w:val="00F15753"/>
    <w:rsid w:val="00F27044"/>
    <w:rsid w:val="00F27A31"/>
    <w:rsid w:val="00F32714"/>
    <w:rsid w:val="00F33D51"/>
    <w:rsid w:val="00F34120"/>
    <w:rsid w:val="00F41F74"/>
    <w:rsid w:val="00F45A15"/>
    <w:rsid w:val="00F47A3E"/>
    <w:rsid w:val="00F5350E"/>
    <w:rsid w:val="00F57805"/>
    <w:rsid w:val="00F619BA"/>
    <w:rsid w:val="00F6323E"/>
    <w:rsid w:val="00F7035F"/>
    <w:rsid w:val="00F7203C"/>
    <w:rsid w:val="00F75187"/>
    <w:rsid w:val="00F76542"/>
    <w:rsid w:val="00F904B1"/>
    <w:rsid w:val="00F92FA8"/>
    <w:rsid w:val="00F948F2"/>
    <w:rsid w:val="00F94DE4"/>
    <w:rsid w:val="00F971A5"/>
    <w:rsid w:val="00FA1735"/>
    <w:rsid w:val="00FA731A"/>
    <w:rsid w:val="00FB320C"/>
    <w:rsid w:val="00FC4F5E"/>
    <w:rsid w:val="00FD0CFD"/>
    <w:rsid w:val="00FD1A13"/>
    <w:rsid w:val="00FD33F7"/>
    <w:rsid w:val="00FD4279"/>
    <w:rsid w:val="00FD4EE1"/>
    <w:rsid w:val="00FD5AA2"/>
    <w:rsid w:val="00FF3314"/>
    <w:rsid w:val="00FF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4EA4C"/>
  <w15:docId w15:val="{25F50BB5-7F1E-4EC0-96ED-90F3FAE2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EF1"/>
  </w:style>
  <w:style w:type="paragraph" w:styleId="Heading2">
    <w:name w:val="heading 2"/>
    <w:basedOn w:val="Normal"/>
    <w:next w:val="Normal"/>
    <w:link w:val="Heading2Char"/>
    <w:uiPriority w:val="9"/>
    <w:unhideWhenUsed/>
    <w:qFormat/>
    <w:rsid w:val="001B6E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AC5"/>
    <w:pPr>
      <w:ind w:left="720"/>
      <w:contextualSpacing/>
    </w:pPr>
  </w:style>
  <w:style w:type="paragraph" w:styleId="FootnoteText">
    <w:name w:val="footnote text"/>
    <w:basedOn w:val="Normal"/>
    <w:link w:val="FootnoteTextChar"/>
    <w:uiPriority w:val="99"/>
    <w:unhideWhenUsed/>
    <w:rsid w:val="00A42115"/>
    <w:pPr>
      <w:spacing w:after="0" w:line="240" w:lineRule="auto"/>
    </w:pPr>
    <w:rPr>
      <w:sz w:val="20"/>
      <w:szCs w:val="20"/>
    </w:rPr>
  </w:style>
  <w:style w:type="character" w:customStyle="1" w:styleId="FootnoteTextChar">
    <w:name w:val="Footnote Text Char"/>
    <w:basedOn w:val="DefaultParagraphFont"/>
    <w:link w:val="FootnoteText"/>
    <w:uiPriority w:val="99"/>
    <w:rsid w:val="00A42115"/>
    <w:rPr>
      <w:sz w:val="20"/>
      <w:szCs w:val="20"/>
    </w:rPr>
  </w:style>
  <w:style w:type="character" w:styleId="FootnoteReference">
    <w:name w:val="footnote reference"/>
    <w:basedOn w:val="DefaultParagraphFont"/>
    <w:uiPriority w:val="99"/>
    <w:semiHidden/>
    <w:unhideWhenUsed/>
    <w:rsid w:val="00A42115"/>
    <w:rPr>
      <w:vertAlign w:val="superscript"/>
    </w:rPr>
  </w:style>
  <w:style w:type="character" w:styleId="Strong">
    <w:name w:val="Strong"/>
    <w:basedOn w:val="DefaultParagraphFont"/>
    <w:uiPriority w:val="22"/>
    <w:qFormat/>
    <w:rsid w:val="00831957"/>
    <w:rPr>
      <w:b/>
      <w:bCs/>
    </w:rPr>
  </w:style>
  <w:style w:type="character" w:styleId="CommentReference">
    <w:name w:val="annotation reference"/>
    <w:basedOn w:val="DefaultParagraphFont"/>
    <w:uiPriority w:val="99"/>
    <w:semiHidden/>
    <w:unhideWhenUsed/>
    <w:rsid w:val="002622B2"/>
    <w:rPr>
      <w:sz w:val="16"/>
      <w:szCs w:val="16"/>
    </w:rPr>
  </w:style>
  <w:style w:type="paragraph" w:styleId="CommentText">
    <w:name w:val="annotation text"/>
    <w:basedOn w:val="Normal"/>
    <w:link w:val="CommentTextChar"/>
    <w:uiPriority w:val="99"/>
    <w:semiHidden/>
    <w:unhideWhenUsed/>
    <w:rsid w:val="002622B2"/>
    <w:pPr>
      <w:spacing w:line="240" w:lineRule="auto"/>
    </w:pPr>
    <w:rPr>
      <w:sz w:val="20"/>
      <w:szCs w:val="20"/>
    </w:rPr>
  </w:style>
  <w:style w:type="character" w:customStyle="1" w:styleId="CommentTextChar">
    <w:name w:val="Comment Text Char"/>
    <w:basedOn w:val="DefaultParagraphFont"/>
    <w:link w:val="CommentText"/>
    <w:uiPriority w:val="99"/>
    <w:semiHidden/>
    <w:rsid w:val="002622B2"/>
    <w:rPr>
      <w:sz w:val="20"/>
      <w:szCs w:val="20"/>
    </w:rPr>
  </w:style>
  <w:style w:type="paragraph" w:styleId="CommentSubject">
    <w:name w:val="annotation subject"/>
    <w:basedOn w:val="CommentText"/>
    <w:next w:val="CommentText"/>
    <w:link w:val="CommentSubjectChar"/>
    <w:uiPriority w:val="99"/>
    <w:semiHidden/>
    <w:unhideWhenUsed/>
    <w:rsid w:val="002622B2"/>
    <w:rPr>
      <w:b/>
      <w:bCs/>
    </w:rPr>
  </w:style>
  <w:style w:type="character" w:customStyle="1" w:styleId="CommentSubjectChar">
    <w:name w:val="Comment Subject Char"/>
    <w:basedOn w:val="CommentTextChar"/>
    <w:link w:val="CommentSubject"/>
    <w:uiPriority w:val="99"/>
    <w:semiHidden/>
    <w:rsid w:val="002622B2"/>
    <w:rPr>
      <w:b/>
      <w:bCs/>
      <w:sz w:val="20"/>
      <w:szCs w:val="20"/>
    </w:rPr>
  </w:style>
  <w:style w:type="paragraph" w:customStyle="1" w:styleId="Default">
    <w:name w:val="Default"/>
    <w:rsid w:val="007D3F7C"/>
    <w:pPr>
      <w:autoSpaceDE w:val="0"/>
      <w:autoSpaceDN w:val="0"/>
      <w:adjustRightInd w:val="0"/>
      <w:spacing w:after="0" w:line="240" w:lineRule="auto"/>
    </w:pPr>
    <w:rPr>
      <w:rFonts w:ascii="Cambria Math" w:hAnsi="Cambria Math" w:cs="Cambria Math"/>
      <w:color w:val="000000"/>
      <w:sz w:val="24"/>
      <w:szCs w:val="24"/>
    </w:rPr>
  </w:style>
  <w:style w:type="character" w:styleId="PlaceholderText">
    <w:name w:val="Placeholder Text"/>
    <w:basedOn w:val="DefaultParagraphFont"/>
    <w:uiPriority w:val="99"/>
    <w:semiHidden/>
    <w:rsid w:val="002364F1"/>
    <w:rPr>
      <w:color w:val="808080"/>
    </w:rPr>
  </w:style>
  <w:style w:type="table" w:customStyle="1" w:styleId="TableGridLight1">
    <w:name w:val="Table Grid Light1"/>
    <w:basedOn w:val="TableNormal"/>
    <w:uiPriority w:val="40"/>
    <w:rsid w:val="008274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semiHidden/>
    <w:unhideWhenUsed/>
    <w:rsid w:val="00C4429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4292"/>
  </w:style>
  <w:style w:type="character" w:styleId="PageNumber">
    <w:name w:val="page number"/>
    <w:basedOn w:val="DefaultParagraphFont"/>
    <w:uiPriority w:val="99"/>
    <w:semiHidden/>
    <w:unhideWhenUsed/>
    <w:rsid w:val="00C44292"/>
  </w:style>
  <w:style w:type="paragraph" w:styleId="NoSpacing">
    <w:name w:val="No Spacing"/>
    <w:uiPriority w:val="1"/>
    <w:qFormat/>
    <w:rsid w:val="009C77B0"/>
    <w:pPr>
      <w:spacing w:after="0" w:line="240" w:lineRule="auto"/>
    </w:pPr>
  </w:style>
  <w:style w:type="character" w:styleId="Hyperlink">
    <w:name w:val="Hyperlink"/>
    <w:basedOn w:val="DefaultParagraphFont"/>
    <w:uiPriority w:val="99"/>
    <w:unhideWhenUsed/>
    <w:rsid w:val="00196BCB"/>
    <w:rPr>
      <w:color w:val="0563C1" w:themeColor="hyperlink"/>
      <w:u w:val="single"/>
    </w:rPr>
  </w:style>
  <w:style w:type="character" w:customStyle="1" w:styleId="UnresolvedMention1">
    <w:name w:val="Unresolved Mention1"/>
    <w:basedOn w:val="DefaultParagraphFont"/>
    <w:uiPriority w:val="99"/>
    <w:semiHidden/>
    <w:unhideWhenUsed/>
    <w:rsid w:val="00196BCB"/>
    <w:rPr>
      <w:color w:val="605E5C"/>
      <w:shd w:val="clear" w:color="auto" w:fill="E1DFDD"/>
    </w:rPr>
  </w:style>
  <w:style w:type="character" w:styleId="FollowedHyperlink">
    <w:name w:val="FollowedHyperlink"/>
    <w:basedOn w:val="DefaultParagraphFont"/>
    <w:uiPriority w:val="99"/>
    <w:semiHidden/>
    <w:unhideWhenUsed/>
    <w:rsid w:val="00AF55CB"/>
    <w:rPr>
      <w:color w:val="954F72" w:themeColor="followedHyperlink"/>
      <w:u w:val="single"/>
    </w:rPr>
  </w:style>
  <w:style w:type="table" w:styleId="TableGrid">
    <w:name w:val="Table Grid"/>
    <w:basedOn w:val="TableNormal"/>
    <w:uiPriority w:val="39"/>
    <w:rsid w:val="00141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1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447"/>
    <w:rPr>
      <w:rFonts w:ascii="Tahoma" w:hAnsi="Tahoma" w:cs="Tahoma"/>
      <w:sz w:val="16"/>
      <w:szCs w:val="16"/>
    </w:rPr>
  </w:style>
  <w:style w:type="table" w:customStyle="1" w:styleId="TableGridLight11">
    <w:name w:val="Table Grid Light11"/>
    <w:basedOn w:val="TableNormal"/>
    <w:uiPriority w:val="40"/>
    <w:rsid w:val="00DA5C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1B6E1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18005">
      <w:bodyDiv w:val="1"/>
      <w:marLeft w:val="0"/>
      <w:marRight w:val="0"/>
      <w:marTop w:val="0"/>
      <w:marBottom w:val="0"/>
      <w:divBdr>
        <w:top w:val="none" w:sz="0" w:space="0" w:color="auto"/>
        <w:left w:val="none" w:sz="0" w:space="0" w:color="auto"/>
        <w:bottom w:val="none" w:sz="0" w:space="0" w:color="auto"/>
        <w:right w:val="none" w:sz="0" w:space="0" w:color="auto"/>
      </w:divBdr>
    </w:div>
    <w:div w:id="125315997">
      <w:bodyDiv w:val="1"/>
      <w:marLeft w:val="0"/>
      <w:marRight w:val="0"/>
      <w:marTop w:val="0"/>
      <w:marBottom w:val="0"/>
      <w:divBdr>
        <w:top w:val="none" w:sz="0" w:space="0" w:color="auto"/>
        <w:left w:val="none" w:sz="0" w:space="0" w:color="auto"/>
        <w:bottom w:val="none" w:sz="0" w:space="0" w:color="auto"/>
        <w:right w:val="none" w:sz="0" w:space="0" w:color="auto"/>
      </w:divBdr>
    </w:div>
    <w:div w:id="139931533">
      <w:bodyDiv w:val="1"/>
      <w:marLeft w:val="0"/>
      <w:marRight w:val="0"/>
      <w:marTop w:val="0"/>
      <w:marBottom w:val="0"/>
      <w:divBdr>
        <w:top w:val="none" w:sz="0" w:space="0" w:color="auto"/>
        <w:left w:val="none" w:sz="0" w:space="0" w:color="auto"/>
        <w:bottom w:val="none" w:sz="0" w:space="0" w:color="auto"/>
        <w:right w:val="none" w:sz="0" w:space="0" w:color="auto"/>
      </w:divBdr>
    </w:div>
    <w:div w:id="170147118">
      <w:bodyDiv w:val="1"/>
      <w:marLeft w:val="0"/>
      <w:marRight w:val="0"/>
      <w:marTop w:val="0"/>
      <w:marBottom w:val="0"/>
      <w:divBdr>
        <w:top w:val="none" w:sz="0" w:space="0" w:color="auto"/>
        <w:left w:val="none" w:sz="0" w:space="0" w:color="auto"/>
        <w:bottom w:val="none" w:sz="0" w:space="0" w:color="auto"/>
        <w:right w:val="none" w:sz="0" w:space="0" w:color="auto"/>
      </w:divBdr>
    </w:div>
    <w:div w:id="2954481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569">
          <w:marLeft w:val="0"/>
          <w:marRight w:val="0"/>
          <w:marTop w:val="0"/>
          <w:marBottom w:val="0"/>
          <w:divBdr>
            <w:top w:val="single" w:sz="2" w:space="0" w:color="E3E3E3"/>
            <w:left w:val="single" w:sz="2" w:space="0" w:color="E3E3E3"/>
            <w:bottom w:val="single" w:sz="2" w:space="0" w:color="E3E3E3"/>
            <w:right w:val="single" w:sz="2" w:space="0" w:color="E3E3E3"/>
          </w:divBdr>
          <w:divsChild>
            <w:div w:id="1253123860">
              <w:marLeft w:val="0"/>
              <w:marRight w:val="0"/>
              <w:marTop w:val="0"/>
              <w:marBottom w:val="0"/>
              <w:divBdr>
                <w:top w:val="single" w:sz="2" w:space="0" w:color="E3E3E3"/>
                <w:left w:val="single" w:sz="2" w:space="0" w:color="E3E3E3"/>
                <w:bottom w:val="single" w:sz="2" w:space="0" w:color="E3E3E3"/>
                <w:right w:val="single" w:sz="2" w:space="0" w:color="E3E3E3"/>
              </w:divBdr>
              <w:divsChild>
                <w:div w:id="1042091688">
                  <w:marLeft w:val="0"/>
                  <w:marRight w:val="0"/>
                  <w:marTop w:val="0"/>
                  <w:marBottom w:val="0"/>
                  <w:divBdr>
                    <w:top w:val="single" w:sz="2" w:space="0" w:color="E3E3E3"/>
                    <w:left w:val="single" w:sz="2" w:space="0" w:color="E3E3E3"/>
                    <w:bottom w:val="single" w:sz="2" w:space="0" w:color="E3E3E3"/>
                    <w:right w:val="single" w:sz="2" w:space="0" w:color="E3E3E3"/>
                  </w:divBdr>
                  <w:divsChild>
                    <w:div w:id="1532953402">
                      <w:marLeft w:val="0"/>
                      <w:marRight w:val="0"/>
                      <w:marTop w:val="0"/>
                      <w:marBottom w:val="0"/>
                      <w:divBdr>
                        <w:top w:val="single" w:sz="2" w:space="0" w:color="E3E3E3"/>
                        <w:left w:val="single" w:sz="2" w:space="0" w:color="E3E3E3"/>
                        <w:bottom w:val="single" w:sz="2" w:space="0" w:color="E3E3E3"/>
                        <w:right w:val="single" w:sz="2" w:space="0" w:color="E3E3E3"/>
                      </w:divBdr>
                      <w:divsChild>
                        <w:div w:id="1311859034">
                          <w:marLeft w:val="0"/>
                          <w:marRight w:val="0"/>
                          <w:marTop w:val="0"/>
                          <w:marBottom w:val="0"/>
                          <w:divBdr>
                            <w:top w:val="single" w:sz="2" w:space="0" w:color="E3E3E3"/>
                            <w:left w:val="single" w:sz="2" w:space="0" w:color="E3E3E3"/>
                            <w:bottom w:val="single" w:sz="2" w:space="0" w:color="E3E3E3"/>
                            <w:right w:val="single" w:sz="2" w:space="0" w:color="E3E3E3"/>
                          </w:divBdr>
                          <w:divsChild>
                            <w:div w:id="1513565930">
                              <w:marLeft w:val="0"/>
                              <w:marRight w:val="0"/>
                              <w:marTop w:val="100"/>
                              <w:marBottom w:val="100"/>
                              <w:divBdr>
                                <w:top w:val="single" w:sz="2" w:space="0" w:color="E3E3E3"/>
                                <w:left w:val="single" w:sz="2" w:space="0" w:color="E3E3E3"/>
                                <w:bottom w:val="single" w:sz="2" w:space="0" w:color="E3E3E3"/>
                                <w:right w:val="single" w:sz="2" w:space="0" w:color="E3E3E3"/>
                              </w:divBdr>
                              <w:divsChild>
                                <w:div w:id="1869877031">
                                  <w:marLeft w:val="0"/>
                                  <w:marRight w:val="0"/>
                                  <w:marTop w:val="0"/>
                                  <w:marBottom w:val="0"/>
                                  <w:divBdr>
                                    <w:top w:val="single" w:sz="2" w:space="0" w:color="E3E3E3"/>
                                    <w:left w:val="single" w:sz="2" w:space="0" w:color="E3E3E3"/>
                                    <w:bottom w:val="single" w:sz="2" w:space="0" w:color="E3E3E3"/>
                                    <w:right w:val="single" w:sz="2" w:space="0" w:color="E3E3E3"/>
                                  </w:divBdr>
                                  <w:divsChild>
                                    <w:div w:id="506091252">
                                      <w:marLeft w:val="0"/>
                                      <w:marRight w:val="0"/>
                                      <w:marTop w:val="0"/>
                                      <w:marBottom w:val="0"/>
                                      <w:divBdr>
                                        <w:top w:val="single" w:sz="2" w:space="0" w:color="E3E3E3"/>
                                        <w:left w:val="single" w:sz="2" w:space="0" w:color="E3E3E3"/>
                                        <w:bottom w:val="single" w:sz="2" w:space="0" w:color="E3E3E3"/>
                                        <w:right w:val="single" w:sz="2" w:space="0" w:color="E3E3E3"/>
                                      </w:divBdr>
                                      <w:divsChild>
                                        <w:div w:id="2047021962">
                                          <w:marLeft w:val="0"/>
                                          <w:marRight w:val="0"/>
                                          <w:marTop w:val="0"/>
                                          <w:marBottom w:val="0"/>
                                          <w:divBdr>
                                            <w:top w:val="single" w:sz="2" w:space="0" w:color="E3E3E3"/>
                                            <w:left w:val="single" w:sz="2" w:space="0" w:color="E3E3E3"/>
                                            <w:bottom w:val="single" w:sz="2" w:space="0" w:color="E3E3E3"/>
                                            <w:right w:val="single" w:sz="2" w:space="0" w:color="E3E3E3"/>
                                          </w:divBdr>
                                          <w:divsChild>
                                            <w:div w:id="1711879278">
                                              <w:marLeft w:val="0"/>
                                              <w:marRight w:val="0"/>
                                              <w:marTop w:val="0"/>
                                              <w:marBottom w:val="0"/>
                                              <w:divBdr>
                                                <w:top w:val="single" w:sz="2" w:space="0" w:color="E3E3E3"/>
                                                <w:left w:val="single" w:sz="2" w:space="0" w:color="E3E3E3"/>
                                                <w:bottom w:val="single" w:sz="2" w:space="0" w:color="E3E3E3"/>
                                                <w:right w:val="single" w:sz="2" w:space="0" w:color="E3E3E3"/>
                                              </w:divBdr>
                                              <w:divsChild>
                                                <w:div w:id="668143843">
                                                  <w:marLeft w:val="0"/>
                                                  <w:marRight w:val="0"/>
                                                  <w:marTop w:val="0"/>
                                                  <w:marBottom w:val="0"/>
                                                  <w:divBdr>
                                                    <w:top w:val="single" w:sz="2" w:space="0" w:color="E3E3E3"/>
                                                    <w:left w:val="single" w:sz="2" w:space="0" w:color="E3E3E3"/>
                                                    <w:bottom w:val="single" w:sz="2" w:space="0" w:color="E3E3E3"/>
                                                    <w:right w:val="single" w:sz="2" w:space="0" w:color="E3E3E3"/>
                                                  </w:divBdr>
                                                  <w:divsChild>
                                                    <w:div w:id="710232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20601283">
          <w:marLeft w:val="0"/>
          <w:marRight w:val="0"/>
          <w:marTop w:val="0"/>
          <w:marBottom w:val="0"/>
          <w:divBdr>
            <w:top w:val="none" w:sz="0" w:space="0" w:color="auto"/>
            <w:left w:val="none" w:sz="0" w:space="0" w:color="auto"/>
            <w:bottom w:val="none" w:sz="0" w:space="0" w:color="auto"/>
            <w:right w:val="none" w:sz="0" w:space="0" w:color="auto"/>
          </w:divBdr>
        </w:div>
      </w:divsChild>
    </w:div>
    <w:div w:id="756099161">
      <w:bodyDiv w:val="1"/>
      <w:marLeft w:val="0"/>
      <w:marRight w:val="0"/>
      <w:marTop w:val="0"/>
      <w:marBottom w:val="0"/>
      <w:divBdr>
        <w:top w:val="none" w:sz="0" w:space="0" w:color="auto"/>
        <w:left w:val="none" w:sz="0" w:space="0" w:color="auto"/>
        <w:bottom w:val="none" w:sz="0" w:space="0" w:color="auto"/>
        <w:right w:val="none" w:sz="0" w:space="0" w:color="auto"/>
      </w:divBdr>
    </w:div>
    <w:div w:id="830295226">
      <w:bodyDiv w:val="1"/>
      <w:marLeft w:val="0"/>
      <w:marRight w:val="0"/>
      <w:marTop w:val="0"/>
      <w:marBottom w:val="0"/>
      <w:divBdr>
        <w:top w:val="none" w:sz="0" w:space="0" w:color="auto"/>
        <w:left w:val="none" w:sz="0" w:space="0" w:color="auto"/>
        <w:bottom w:val="none" w:sz="0" w:space="0" w:color="auto"/>
        <w:right w:val="none" w:sz="0" w:space="0" w:color="auto"/>
      </w:divBdr>
    </w:div>
    <w:div w:id="835728012">
      <w:bodyDiv w:val="1"/>
      <w:marLeft w:val="0"/>
      <w:marRight w:val="0"/>
      <w:marTop w:val="0"/>
      <w:marBottom w:val="0"/>
      <w:divBdr>
        <w:top w:val="none" w:sz="0" w:space="0" w:color="auto"/>
        <w:left w:val="none" w:sz="0" w:space="0" w:color="auto"/>
        <w:bottom w:val="none" w:sz="0" w:space="0" w:color="auto"/>
        <w:right w:val="none" w:sz="0" w:space="0" w:color="auto"/>
      </w:divBdr>
    </w:div>
    <w:div w:id="840657480">
      <w:bodyDiv w:val="1"/>
      <w:marLeft w:val="0"/>
      <w:marRight w:val="0"/>
      <w:marTop w:val="0"/>
      <w:marBottom w:val="0"/>
      <w:divBdr>
        <w:top w:val="none" w:sz="0" w:space="0" w:color="auto"/>
        <w:left w:val="none" w:sz="0" w:space="0" w:color="auto"/>
        <w:bottom w:val="none" w:sz="0" w:space="0" w:color="auto"/>
        <w:right w:val="none" w:sz="0" w:space="0" w:color="auto"/>
      </w:divBdr>
      <w:divsChild>
        <w:div w:id="996769315">
          <w:marLeft w:val="0"/>
          <w:marRight w:val="0"/>
          <w:marTop w:val="0"/>
          <w:marBottom w:val="0"/>
          <w:divBdr>
            <w:top w:val="none" w:sz="0" w:space="0" w:color="auto"/>
            <w:left w:val="none" w:sz="0" w:space="0" w:color="auto"/>
            <w:bottom w:val="none" w:sz="0" w:space="0" w:color="auto"/>
            <w:right w:val="none" w:sz="0" w:space="0" w:color="auto"/>
          </w:divBdr>
        </w:div>
        <w:div w:id="526332816">
          <w:marLeft w:val="0"/>
          <w:marRight w:val="0"/>
          <w:marTop w:val="0"/>
          <w:marBottom w:val="0"/>
          <w:divBdr>
            <w:top w:val="none" w:sz="0" w:space="0" w:color="auto"/>
            <w:left w:val="none" w:sz="0" w:space="0" w:color="auto"/>
            <w:bottom w:val="none" w:sz="0" w:space="0" w:color="auto"/>
            <w:right w:val="none" w:sz="0" w:space="0" w:color="auto"/>
          </w:divBdr>
        </w:div>
        <w:div w:id="551158146">
          <w:marLeft w:val="0"/>
          <w:marRight w:val="0"/>
          <w:marTop w:val="0"/>
          <w:marBottom w:val="0"/>
          <w:divBdr>
            <w:top w:val="none" w:sz="0" w:space="0" w:color="auto"/>
            <w:left w:val="none" w:sz="0" w:space="0" w:color="auto"/>
            <w:bottom w:val="none" w:sz="0" w:space="0" w:color="auto"/>
            <w:right w:val="none" w:sz="0" w:space="0" w:color="auto"/>
          </w:divBdr>
        </w:div>
        <w:div w:id="1655715596">
          <w:marLeft w:val="0"/>
          <w:marRight w:val="0"/>
          <w:marTop w:val="0"/>
          <w:marBottom w:val="0"/>
          <w:divBdr>
            <w:top w:val="none" w:sz="0" w:space="0" w:color="auto"/>
            <w:left w:val="none" w:sz="0" w:space="0" w:color="auto"/>
            <w:bottom w:val="none" w:sz="0" w:space="0" w:color="auto"/>
            <w:right w:val="none" w:sz="0" w:space="0" w:color="auto"/>
          </w:divBdr>
        </w:div>
        <w:div w:id="1816796740">
          <w:marLeft w:val="0"/>
          <w:marRight w:val="0"/>
          <w:marTop w:val="0"/>
          <w:marBottom w:val="0"/>
          <w:divBdr>
            <w:top w:val="none" w:sz="0" w:space="0" w:color="auto"/>
            <w:left w:val="none" w:sz="0" w:space="0" w:color="auto"/>
            <w:bottom w:val="none" w:sz="0" w:space="0" w:color="auto"/>
            <w:right w:val="none" w:sz="0" w:space="0" w:color="auto"/>
          </w:divBdr>
        </w:div>
        <w:div w:id="767895242">
          <w:marLeft w:val="0"/>
          <w:marRight w:val="0"/>
          <w:marTop w:val="0"/>
          <w:marBottom w:val="0"/>
          <w:divBdr>
            <w:top w:val="none" w:sz="0" w:space="0" w:color="auto"/>
            <w:left w:val="none" w:sz="0" w:space="0" w:color="auto"/>
            <w:bottom w:val="none" w:sz="0" w:space="0" w:color="auto"/>
            <w:right w:val="none" w:sz="0" w:space="0" w:color="auto"/>
          </w:divBdr>
        </w:div>
      </w:divsChild>
    </w:div>
    <w:div w:id="988900051">
      <w:bodyDiv w:val="1"/>
      <w:marLeft w:val="0"/>
      <w:marRight w:val="0"/>
      <w:marTop w:val="0"/>
      <w:marBottom w:val="0"/>
      <w:divBdr>
        <w:top w:val="none" w:sz="0" w:space="0" w:color="auto"/>
        <w:left w:val="none" w:sz="0" w:space="0" w:color="auto"/>
        <w:bottom w:val="none" w:sz="0" w:space="0" w:color="auto"/>
        <w:right w:val="none" w:sz="0" w:space="0" w:color="auto"/>
      </w:divBdr>
    </w:div>
    <w:div w:id="184674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erpilla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terpillar.com/en/news/caterpillarNews/2022/caterpillar-recognizes-top-suppli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AF0C4-11DB-4A07-9998-E032F9FA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9553</Words>
  <Characters>54457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HPuser</dc:creator>
  <cp:lastModifiedBy>Sladjana Vujicic</cp:lastModifiedBy>
  <cp:revision>2</cp:revision>
  <dcterms:created xsi:type="dcterms:W3CDTF">2024-11-17T16:11:00Z</dcterms:created>
  <dcterms:modified xsi:type="dcterms:W3CDTF">2024-11-17T16:11:00Z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cf240c6d-a951-427d-8add-ac3432f27b73</vt:lpwstr>
  </property>
</Properties>
</file>